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9AF32" w14:textId="30297E5C" w:rsidR="000E2AFE" w:rsidRDefault="008F6A94" w:rsidP="000E2AFE">
      <w:pPr>
        <w:keepNext w:val="0"/>
        <w:widowControl w:val="0"/>
        <w:rPr>
          <w:rStyle w:val="ARSubtitleCaption"/>
        </w:rPr>
      </w:pPr>
      <w:r>
        <w:rPr>
          <w:rStyle w:val="ARTitle"/>
        </w:rPr>
        <w:t>Appraisal Report –</w:t>
      </w:r>
      <w:r w:rsidR="006B403D">
        <w:rPr>
          <w:rStyle w:val="ARTitle"/>
        </w:rPr>
        <w:t xml:space="preserve"> </w:t>
      </w:r>
      <w:r w:rsidR="00A71C3D">
        <w:rPr>
          <w:rStyle w:val="ARTitle"/>
        </w:rPr>
        <w:t xml:space="preserve">Amended </w:t>
      </w:r>
      <w:r>
        <w:rPr>
          <w:rStyle w:val="ARTitle"/>
        </w:rPr>
        <w:t>Retention and Disposal Authority</w:t>
      </w:r>
      <w:r>
        <w:rPr>
          <w:rStyle w:val="ARTitle"/>
        </w:rPr>
        <w:br/>
      </w:r>
      <w:r>
        <w:rPr>
          <w:rStyle w:val="ARSubtitle"/>
        </w:rPr>
        <w:t>AR</w:t>
      </w:r>
      <w:r w:rsidR="001D7FFC">
        <w:rPr>
          <w:rStyle w:val="ARSubtitle"/>
        </w:rPr>
        <w:t>573</w:t>
      </w:r>
      <w:r>
        <w:rPr>
          <w:rStyle w:val="ARSubtitle"/>
        </w:rPr>
        <w:t xml:space="preserve"> </w:t>
      </w:r>
      <w:r w:rsidR="0040337C">
        <w:rPr>
          <w:rStyle w:val="ARSubtitle"/>
        </w:rPr>
        <w:t xml:space="preserve">The </w:t>
      </w:r>
      <w:r>
        <w:rPr>
          <w:rStyle w:val="ARSubtitle"/>
        </w:rPr>
        <w:t>Premier's Department &amp; The Cabinet Office</w:t>
      </w:r>
      <w:r>
        <w:rPr>
          <w:rStyle w:val="ARSubtitleCaption"/>
        </w:rPr>
        <w:br/>
        <w:t>Prepared by:</w:t>
      </w:r>
      <w:r w:rsidR="001D7FFC">
        <w:rPr>
          <w:rStyle w:val="ARSubtitleCaption"/>
        </w:rPr>
        <w:tab/>
      </w:r>
      <w:r w:rsidR="001D7FFC">
        <w:rPr>
          <w:rStyle w:val="ARSubtitleCaption"/>
        </w:rPr>
        <w:tab/>
      </w:r>
      <w:r w:rsidR="00973E1C">
        <w:rPr>
          <w:rStyle w:val="ARSubtitleCaption"/>
        </w:rPr>
        <w:t>Rianna Cawley, Project Officer</w:t>
      </w:r>
      <w:r w:rsidR="00720C98">
        <w:rPr>
          <w:rStyle w:val="ARSubtitleCaption"/>
        </w:rPr>
        <w:t>,</w:t>
      </w:r>
      <w:r w:rsidR="00973E1C">
        <w:rPr>
          <w:rStyle w:val="ARSubtitleCaption"/>
        </w:rPr>
        <w:t xml:space="preserve"> State Records NSW</w:t>
      </w:r>
    </w:p>
    <w:p w14:paraId="10C4B708" w14:textId="2342447A" w:rsidR="00973E1C" w:rsidRDefault="008F6A94" w:rsidP="00AC26CD">
      <w:pPr>
        <w:keepNext w:val="0"/>
        <w:widowControl w:val="0"/>
        <w:ind w:left="1701" w:firstLine="567"/>
        <w:rPr>
          <w:rStyle w:val="ARSubtitleCaption"/>
        </w:rPr>
      </w:pPr>
      <w:r>
        <w:rPr>
          <w:rStyle w:val="ARSubtitleCaption"/>
        </w:rPr>
        <w:t xml:space="preserve">Angela McGing, </w:t>
      </w:r>
      <w:r w:rsidR="001D7FFC">
        <w:rPr>
          <w:rStyle w:val="ARSubtitleCaption"/>
        </w:rPr>
        <w:t>Senior Advisor</w:t>
      </w:r>
      <w:r w:rsidR="00720C98">
        <w:rPr>
          <w:rStyle w:val="ARSubtitleCaption"/>
        </w:rPr>
        <w:t>,</w:t>
      </w:r>
      <w:r w:rsidR="001D7FFC">
        <w:rPr>
          <w:rStyle w:val="ARSubtitleCaption"/>
        </w:rPr>
        <w:t xml:space="preserve"> State Records NSW</w:t>
      </w:r>
    </w:p>
    <w:p w14:paraId="10739C30" w14:textId="77777777" w:rsidR="00AC26CD" w:rsidRDefault="008F6A94" w:rsidP="00973E1C">
      <w:pPr>
        <w:keepNext w:val="0"/>
        <w:widowControl w:val="0"/>
        <w:rPr>
          <w:rStyle w:val="ARSubtitleCaption"/>
        </w:rPr>
      </w:pPr>
      <w:r>
        <w:rPr>
          <w:rStyle w:val="ARSubtitleCaption"/>
        </w:rPr>
        <w:t xml:space="preserve">Approved by: </w:t>
      </w:r>
      <w:r w:rsidR="001D7FFC">
        <w:rPr>
          <w:rStyle w:val="ARSubtitleCaption"/>
        </w:rPr>
        <w:tab/>
      </w:r>
      <w:r w:rsidR="001D7FFC">
        <w:rPr>
          <w:rStyle w:val="ARSubtitleCaption"/>
        </w:rPr>
        <w:tab/>
        <w:t>Laura Baldwin, Manager</w:t>
      </w:r>
      <w:r w:rsidR="008E3880">
        <w:rPr>
          <w:rStyle w:val="ARSubtitleCaption"/>
        </w:rPr>
        <w:t>, Policy and Advice</w:t>
      </w:r>
      <w:r w:rsidR="00720C98">
        <w:rPr>
          <w:rStyle w:val="ARSubtitleCaption"/>
        </w:rPr>
        <w:t>,</w:t>
      </w:r>
      <w:r w:rsidR="001D7FFC">
        <w:rPr>
          <w:rStyle w:val="ARSubtitleCaption"/>
        </w:rPr>
        <w:t xml:space="preserve"> State Records NSW</w:t>
      </w:r>
    </w:p>
    <w:p w14:paraId="457ABB89" w14:textId="2D28C754" w:rsidR="001D7FFC" w:rsidRDefault="001D7FFC" w:rsidP="00AC26CD">
      <w:pPr>
        <w:keepNext w:val="0"/>
        <w:widowControl w:val="0"/>
        <w:ind w:left="1701" w:firstLine="567"/>
        <w:rPr>
          <w:rStyle w:val="ARSubtitleCaption"/>
        </w:rPr>
      </w:pPr>
      <w:r>
        <w:rPr>
          <w:rStyle w:val="ARSubtitleCaption"/>
        </w:rPr>
        <w:t>Martyn Killion, Executive Director</w:t>
      </w:r>
      <w:r w:rsidR="00720C98">
        <w:rPr>
          <w:rStyle w:val="ARSubtitleCaption"/>
        </w:rPr>
        <w:t>,</w:t>
      </w:r>
      <w:r>
        <w:rPr>
          <w:rStyle w:val="ARSubtitleCaption"/>
        </w:rPr>
        <w:t xml:space="preserve"> State Records NSW</w:t>
      </w:r>
    </w:p>
    <w:p w14:paraId="1D5CA1A6" w14:textId="77777777" w:rsidR="00CD2493" w:rsidRDefault="00CD2493" w:rsidP="00AC26CD">
      <w:pPr>
        <w:keepNext w:val="0"/>
        <w:widowControl w:val="0"/>
        <w:ind w:left="1701" w:firstLine="567"/>
        <w:rPr>
          <w:rStyle w:val="ARSubtitleCaption"/>
        </w:rPr>
      </w:pPr>
    </w:p>
    <w:p w14:paraId="59304CBE" w14:textId="52C76684" w:rsidR="008A5010" w:rsidRDefault="001D7FFC" w:rsidP="001D7FFC">
      <w:pPr>
        <w:keepNext w:val="0"/>
        <w:widowControl w:val="0"/>
      </w:pPr>
      <w:r>
        <w:rPr>
          <w:rStyle w:val="ARSubtitleCaption"/>
        </w:rPr>
        <w:t>R</w:t>
      </w:r>
      <w:r w:rsidR="008F6A94">
        <w:rPr>
          <w:rStyle w:val="ARSubtitleCaption"/>
        </w:rPr>
        <w:t xml:space="preserve">ecommendation: </w:t>
      </w:r>
      <w:r>
        <w:rPr>
          <w:rStyle w:val="ARSubtitleCaption"/>
        </w:rPr>
        <w:tab/>
      </w:r>
      <w:r w:rsidR="008F6A94">
        <w:rPr>
          <w:rStyle w:val="ARSubtitleCaption"/>
        </w:rPr>
        <w:t>For Approval</w:t>
      </w:r>
    </w:p>
    <w:p w14:paraId="2CFD0D36" w14:textId="61B42926" w:rsidR="008A5010" w:rsidRPr="00170D60" w:rsidRDefault="001D7FFC" w:rsidP="00140FAD">
      <w:pPr>
        <w:pStyle w:val="ARItem"/>
        <w:keepNext w:val="0"/>
        <w:widowControl w:val="0"/>
        <w:tabs>
          <w:tab w:val="right" w:pos="10205"/>
        </w:tabs>
        <w:jc w:val="left"/>
        <w:rPr>
          <w:sz w:val="25"/>
          <w:szCs w:val="25"/>
        </w:rPr>
      </w:pPr>
      <w:r w:rsidRPr="00170D60">
        <w:rPr>
          <w:sz w:val="25"/>
          <w:szCs w:val="25"/>
        </w:rPr>
        <w:t>Folder: SR2023/166</w:t>
      </w:r>
      <w:r w:rsidRPr="00170D60">
        <w:rPr>
          <w:sz w:val="25"/>
          <w:szCs w:val="25"/>
        </w:rPr>
        <w:tab/>
      </w:r>
      <w:r w:rsidR="008F6A94" w:rsidRPr="00170D60">
        <w:rPr>
          <w:sz w:val="25"/>
          <w:szCs w:val="25"/>
        </w:rPr>
        <w:t xml:space="preserve">Item </w:t>
      </w:r>
      <w:r w:rsidRPr="00170D60">
        <w:rPr>
          <w:sz w:val="25"/>
          <w:szCs w:val="25"/>
        </w:rPr>
        <w:t>7.</w:t>
      </w:r>
      <w:r w:rsidR="000620D4" w:rsidRPr="00170D60">
        <w:rPr>
          <w:sz w:val="25"/>
          <w:szCs w:val="25"/>
        </w:rPr>
        <w:t>1</w:t>
      </w:r>
    </w:p>
    <w:p w14:paraId="459C700A" w14:textId="77777777" w:rsidR="008A5010" w:rsidRDefault="008F6A94" w:rsidP="002E636D">
      <w:pPr>
        <w:pStyle w:val="ARH1"/>
        <w:keepNext w:val="0"/>
        <w:widowControl w:val="0"/>
      </w:pPr>
      <w:r>
        <w:t>Background</w:t>
      </w:r>
    </w:p>
    <w:p w14:paraId="6CE5259C" w14:textId="70CFBE0B" w:rsidR="000807CD" w:rsidRDefault="008F6A94" w:rsidP="002E636D">
      <w:pPr>
        <w:keepNext w:val="0"/>
        <w:widowControl w:val="0"/>
      </w:pPr>
      <w:r>
        <w:t xml:space="preserve">The Premier’s Department was initially established around </w:t>
      </w:r>
      <w:proofErr w:type="gramStart"/>
      <w:r>
        <w:t>1909</w:t>
      </w:r>
      <w:proofErr w:type="gramEnd"/>
      <w:r>
        <w:t xml:space="preserve"> and </w:t>
      </w:r>
      <w:r w:rsidR="00A30091">
        <w:t>T</w:t>
      </w:r>
      <w:r>
        <w:t>he Cabinet Office has existed since 1921.</w:t>
      </w:r>
      <w:r w:rsidR="00526703">
        <w:t>Currently they are separate entities although the Premier’s Department manages The Cabinet Office’s records.</w:t>
      </w:r>
    </w:p>
    <w:p w14:paraId="6CF3E954" w14:textId="77777777" w:rsidR="000807CD" w:rsidRDefault="000807CD" w:rsidP="000807CD">
      <w:pPr>
        <w:pStyle w:val="ARH1"/>
        <w:keepNext w:val="0"/>
        <w:widowControl w:val="0"/>
      </w:pPr>
      <w:r>
        <w:t>Submission</w:t>
      </w:r>
    </w:p>
    <w:p w14:paraId="254F9E39" w14:textId="558F8A71" w:rsidR="000807CD" w:rsidRDefault="000807CD" w:rsidP="000807CD">
      <w:pPr>
        <w:keepNext w:val="0"/>
        <w:widowControl w:val="0"/>
      </w:pPr>
      <w:r>
        <w:t xml:space="preserve">Request for </w:t>
      </w:r>
      <w:r w:rsidR="00D77FDE">
        <w:t xml:space="preserve">approval of </w:t>
      </w:r>
      <w:r>
        <w:t xml:space="preserve">amendments to </w:t>
      </w:r>
      <w:r w:rsidR="00D77FDE">
        <w:t xml:space="preserve">FA313 covering the Premier’s Department and </w:t>
      </w:r>
      <w:r w:rsidR="00931DA5">
        <w:t>T</w:t>
      </w:r>
      <w:r w:rsidR="00D77FDE">
        <w:t>he Cabinet Office</w:t>
      </w:r>
      <w:r w:rsidR="00575591">
        <w:t>.</w:t>
      </w:r>
    </w:p>
    <w:p w14:paraId="32FC6B23" w14:textId="77777777" w:rsidR="008A5010" w:rsidRDefault="008F6A94" w:rsidP="002E636D">
      <w:pPr>
        <w:pStyle w:val="ARH1"/>
        <w:keepNext w:val="0"/>
        <w:widowControl w:val="0"/>
      </w:pPr>
      <w:r>
        <w:t>Issue</w:t>
      </w:r>
    </w:p>
    <w:p w14:paraId="0CC1D9A5" w14:textId="00AA7A58" w:rsidR="00930166" w:rsidRDefault="00575591" w:rsidP="002E636D">
      <w:pPr>
        <w:keepNext w:val="0"/>
        <w:widowControl w:val="0"/>
      </w:pPr>
      <w:r>
        <w:t>The Cabinet Office and the Premier’s Department use FA254 (issued 2008) and FA313 (revised in 2018) for their records.</w:t>
      </w:r>
    </w:p>
    <w:p w14:paraId="08FCAE0E" w14:textId="6C8F3C15" w:rsidR="00BD63E7" w:rsidRDefault="008E0846" w:rsidP="00E1608C">
      <w:pPr>
        <w:keepNext w:val="0"/>
        <w:widowControl w:val="0"/>
      </w:pPr>
      <w:r>
        <w:t xml:space="preserve">The Premier’s Department </w:t>
      </w:r>
      <w:r w:rsidR="000B73B1">
        <w:t xml:space="preserve">recently reviewed the disposal authorities and </w:t>
      </w:r>
      <w:r>
        <w:t>approached State Records</w:t>
      </w:r>
      <w:r w:rsidR="000B73B1">
        <w:t xml:space="preserve"> NSW</w:t>
      </w:r>
      <w:r>
        <w:t xml:space="preserve"> </w:t>
      </w:r>
      <w:r w:rsidR="00930166">
        <w:t xml:space="preserve">to </w:t>
      </w:r>
      <w:r>
        <w:t>re</w:t>
      </w:r>
      <w:r w:rsidR="00575591">
        <w:t>quest minor updates</w:t>
      </w:r>
      <w:r w:rsidR="000B73B1">
        <w:t xml:space="preserve"> (e.g. change of wording from Cabinet </w:t>
      </w:r>
      <w:r w:rsidR="000B73B1" w:rsidRPr="000B73B1">
        <w:t>minutes</w:t>
      </w:r>
      <w:r w:rsidR="000B73B1">
        <w:t xml:space="preserve"> to Cabinet meeting submissions in entry 2).</w:t>
      </w:r>
      <w:r w:rsidR="00E51281">
        <w:t xml:space="preserve"> </w:t>
      </w:r>
      <w:r w:rsidR="00E1608C">
        <w:t>As part of the review State Records NSW</w:t>
      </w:r>
      <w:r w:rsidR="00BD63E7">
        <w:t xml:space="preserve"> suggested:</w:t>
      </w:r>
    </w:p>
    <w:p w14:paraId="01C89A32" w14:textId="7E706862" w:rsidR="00BD63E7" w:rsidRDefault="00E1608C" w:rsidP="00BD63E7">
      <w:pPr>
        <w:pStyle w:val="ListParagraph"/>
        <w:keepNext w:val="0"/>
        <w:widowControl w:val="0"/>
        <w:numPr>
          <w:ilvl w:val="0"/>
          <w:numId w:val="10"/>
        </w:numPr>
      </w:pPr>
      <w:r>
        <w:t xml:space="preserve">changes to the </w:t>
      </w:r>
      <w:r w:rsidR="00BD63E7">
        <w:t xml:space="preserve">retention periods </w:t>
      </w:r>
      <w:r>
        <w:t xml:space="preserve">grants </w:t>
      </w:r>
      <w:r w:rsidR="00BD63E7">
        <w:t>records</w:t>
      </w:r>
    </w:p>
    <w:p w14:paraId="742824C8" w14:textId="77777777" w:rsidR="00BD63E7" w:rsidRDefault="00BD63E7" w:rsidP="00BD63E7">
      <w:pPr>
        <w:pStyle w:val="ListParagraph"/>
        <w:keepNext w:val="0"/>
        <w:widowControl w:val="0"/>
        <w:numPr>
          <w:ilvl w:val="0"/>
          <w:numId w:val="10"/>
        </w:numPr>
      </w:pPr>
      <w:r>
        <w:t>moving entries from FA254 into FA313 so they would have a single disposal authority.</w:t>
      </w:r>
    </w:p>
    <w:p w14:paraId="7D4C72D9" w14:textId="491692FB" w:rsidR="00E1608C" w:rsidRDefault="00E1608C" w:rsidP="00E1608C">
      <w:pPr>
        <w:keepNext w:val="0"/>
        <w:widowControl w:val="0"/>
      </w:pPr>
      <w:r>
        <w:t>This was agreed to.</w:t>
      </w:r>
    </w:p>
    <w:p w14:paraId="1A0B0FC3" w14:textId="60BB3619" w:rsidR="00EC001D" w:rsidRDefault="00EC001D" w:rsidP="00B07E57">
      <w:pPr>
        <w:keepNext w:val="0"/>
        <w:widowControl w:val="0"/>
        <w:rPr>
          <w:rFonts w:cs="Arial"/>
        </w:rPr>
      </w:pPr>
      <w:r>
        <w:rPr>
          <w:rFonts w:cs="Arial"/>
        </w:rPr>
        <w:t>T</w:t>
      </w:r>
      <w:r w:rsidRPr="00C271C8">
        <w:rPr>
          <w:rFonts w:cs="Arial"/>
        </w:rPr>
        <w:t>he following changes are proposed:</w:t>
      </w:r>
    </w:p>
    <w:tbl>
      <w:tblPr>
        <w:tblStyle w:val="TableGridLight"/>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3146"/>
        <w:gridCol w:w="3158"/>
        <w:gridCol w:w="1048"/>
      </w:tblGrid>
      <w:tr w:rsidR="00EC001D" w:rsidRPr="00B5488F" w14:paraId="6126F375" w14:textId="77777777" w:rsidTr="00203627">
        <w:trPr>
          <w:cantSplit/>
          <w:tblHeader/>
        </w:trPr>
        <w:tc>
          <w:tcPr>
            <w:tcW w:w="1394" w:type="pct"/>
          </w:tcPr>
          <w:p w14:paraId="3568738C" w14:textId="77777777" w:rsidR="00EC001D" w:rsidRPr="00B5488F" w:rsidRDefault="00EC001D" w:rsidP="009567DB">
            <w:pPr>
              <w:pStyle w:val="BodyText"/>
              <w:rPr>
                <w:b/>
                <w:bCs/>
                <w:sz w:val="22"/>
                <w:szCs w:val="22"/>
              </w:rPr>
            </w:pPr>
            <w:bookmarkStart w:id="0" w:name="_Hlk181712967"/>
            <w:r w:rsidRPr="00B5488F">
              <w:rPr>
                <w:b/>
                <w:bCs/>
                <w:sz w:val="22"/>
                <w:szCs w:val="22"/>
              </w:rPr>
              <w:t>Records</w:t>
            </w:r>
          </w:p>
        </w:tc>
        <w:tc>
          <w:tcPr>
            <w:tcW w:w="1543" w:type="pct"/>
          </w:tcPr>
          <w:p w14:paraId="0325952F" w14:textId="77777777" w:rsidR="00EC001D" w:rsidRPr="00B5488F" w:rsidRDefault="00EC001D" w:rsidP="009567DB">
            <w:pPr>
              <w:pStyle w:val="BodyText"/>
              <w:rPr>
                <w:b/>
                <w:bCs/>
                <w:sz w:val="22"/>
                <w:szCs w:val="22"/>
              </w:rPr>
            </w:pPr>
            <w:r w:rsidRPr="00B5488F">
              <w:rPr>
                <w:b/>
                <w:bCs/>
                <w:sz w:val="22"/>
                <w:szCs w:val="22"/>
              </w:rPr>
              <w:t>Change</w:t>
            </w:r>
          </w:p>
        </w:tc>
        <w:tc>
          <w:tcPr>
            <w:tcW w:w="1549" w:type="pct"/>
          </w:tcPr>
          <w:p w14:paraId="53D8DEF3" w14:textId="77777777" w:rsidR="00EC001D" w:rsidRPr="00B5488F" w:rsidRDefault="00EC001D" w:rsidP="009567DB">
            <w:pPr>
              <w:pStyle w:val="BodyText"/>
              <w:rPr>
                <w:b/>
                <w:bCs/>
                <w:sz w:val="22"/>
                <w:szCs w:val="22"/>
              </w:rPr>
            </w:pPr>
            <w:r w:rsidRPr="00B5488F">
              <w:rPr>
                <w:b/>
                <w:bCs/>
                <w:sz w:val="22"/>
                <w:szCs w:val="22"/>
              </w:rPr>
              <w:t>Justification</w:t>
            </w:r>
          </w:p>
        </w:tc>
        <w:tc>
          <w:tcPr>
            <w:tcW w:w="514" w:type="pct"/>
          </w:tcPr>
          <w:p w14:paraId="41EDF6EF" w14:textId="77777777" w:rsidR="00EC001D" w:rsidRPr="00B5488F" w:rsidRDefault="00EC001D" w:rsidP="009567DB">
            <w:pPr>
              <w:pStyle w:val="BodyText"/>
              <w:rPr>
                <w:b/>
                <w:bCs/>
                <w:sz w:val="22"/>
                <w:szCs w:val="22"/>
              </w:rPr>
            </w:pPr>
            <w:r w:rsidRPr="00B5488F">
              <w:rPr>
                <w:b/>
                <w:bCs/>
                <w:sz w:val="22"/>
                <w:szCs w:val="22"/>
              </w:rPr>
              <w:t>Entry</w:t>
            </w:r>
          </w:p>
        </w:tc>
      </w:tr>
      <w:tr w:rsidR="00EC001D" w:rsidRPr="00101C11" w14:paraId="7D5BDBDC" w14:textId="77777777" w:rsidTr="00203627">
        <w:tc>
          <w:tcPr>
            <w:tcW w:w="1394" w:type="pct"/>
          </w:tcPr>
          <w:p w14:paraId="53877E83" w14:textId="32E7D89A" w:rsidR="00EC001D" w:rsidRDefault="004A69FB" w:rsidP="009567DB">
            <w:pPr>
              <w:pStyle w:val="BodyText"/>
              <w:rPr>
                <w:sz w:val="22"/>
                <w:szCs w:val="22"/>
              </w:rPr>
            </w:pPr>
            <w:r>
              <w:rPr>
                <w:sz w:val="22"/>
                <w:szCs w:val="22"/>
              </w:rPr>
              <w:t xml:space="preserve">The </w:t>
            </w:r>
            <w:r w:rsidR="00B90A3F" w:rsidRPr="00B90A3F">
              <w:rPr>
                <w:sz w:val="22"/>
                <w:szCs w:val="22"/>
              </w:rPr>
              <w:t>Cabinet Office</w:t>
            </w:r>
            <w:r>
              <w:rPr>
                <w:sz w:val="22"/>
                <w:szCs w:val="22"/>
              </w:rPr>
              <w:t>’s</w:t>
            </w:r>
            <w:r w:rsidR="00B90A3F" w:rsidRPr="00B90A3F">
              <w:rPr>
                <w:sz w:val="22"/>
                <w:szCs w:val="22"/>
              </w:rPr>
              <w:t xml:space="preserve"> set of </w:t>
            </w:r>
            <w:r>
              <w:rPr>
                <w:sz w:val="22"/>
                <w:szCs w:val="22"/>
              </w:rPr>
              <w:t xml:space="preserve">agenda and </w:t>
            </w:r>
            <w:r w:rsidR="00B90A3F" w:rsidRPr="00B90A3F">
              <w:rPr>
                <w:sz w:val="22"/>
                <w:szCs w:val="22"/>
              </w:rPr>
              <w:t>Executive Council</w:t>
            </w:r>
            <w:r>
              <w:rPr>
                <w:sz w:val="22"/>
                <w:szCs w:val="22"/>
              </w:rPr>
              <w:t xml:space="preserve"> </w:t>
            </w:r>
            <w:r w:rsidR="00BD63E7">
              <w:rPr>
                <w:sz w:val="22"/>
                <w:szCs w:val="22"/>
              </w:rPr>
              <w:t>m</w:t>
            </w:r>
            <w:r w:rsidRPr="00B90A3F">
              <w:rPr>
                <w:sz w:val="22"/>
                <w:szCs w:val="22"/>
              </w:rPr>
              <w:t>inutes</w:t>
            </w:r>
            <w:r>
              <w:rPr>
                <w:sz w:val="22"/>
                <w:szCs w:val="22"/>
              </w:rPr>
              <w:t>.</w:t>
            </w:r>
          </w:p>
          <w:p w14:paraId="2E56B808" w14:textId="0D54AB97" w:rsidR="00015A46" w:rsidRPr="00101C11" w:rsidRDefault="00015A46" w:rsidP="009567DB">
            <w:pPr>
              <w:pStyle w:val="BodyText"/>
              <w:rPr>
                <w:sz w:val="22"/>
                <w:szCs w:val="22"/>
              </w:rPr>
            </w:pPr>
            <w:r>
              <w:rPr>
                <w:sz w:val="22"/>
                <w:szCs w:val="22"/>
              </w:rPr>
              <w:t>Retain until administrative or reference use ceases then destroy</w:t>
            </w:r>
          </w:p>
        </w:tc>
        <w:tc>
          <w:tcPr>
            <w:tcW w:w="1543" w:type="pct"/>
          </w:tcPr>
          <w:p w14:paraId="4FDECD4B" w14:textId="133076A2" w:rsidR="00EC001D" w:rsidRPr="00101C11" w:rsidRDefault="000F7AAA" w:rsidP="009567DB">
            <w:pPr>
              <w:pStyle w:val="BodyText"/>
              <w:rPr>
                <w:bCs/>
                <w:sz w:val="22"/>
                <w:szCs w:val="22"/>
              </w:rPr>
            </w:pPr>
            <w:r>
              <w:rPr>
                <w:bCs/>
                <w:sz w:val="22"/>
                <w:szCs w:val="22"/>
              </w:rPr>
              <w:t xml:space="preserve">Removal of requirement that The Cabinet Office can only destroy their </w:t>
            </w:r>
            <w:r w:rsidR="004A69FB">
              <w:rPr>
                <w:bCs/>
                <w:sz w:val="22"/>
                <w:szCs w:val="22"/>
              </w:rPr>
              <w:t xml:space="preserve">set </w:t>
            </w:r>
            <w:proofErr w:type="gramStart"/>
            <w:r w:rsidR="004A69FB">
              <w:rPr>
                <w:bCs/>
                <w:sz w:val="22"/>
                <w:szCs w:val="22"/>
              </w:rPr>
              <w:t xml:space="preserve">of  </w:t>
            </w:r>
            <w:r>
              <w:rPr>
                <w:bCs/>
                <w:sz w:val="22"/>
                <w:szCs w:val="22"/>
              </w:rPr>
              <w:t>Ex</w:t>
            </w:r>
            <w:r w:rsidR="004A69FB">
              <w:rPr>
                <w:bCs/>
                <w:sz w:val="22"/>
                <w:szCs w:val="22"/>
              </w:rPr>
              <w:t>ecutive</w:t>
            </w:r>
            <w:proofErr w:type="gramEnd"/>
            <w:r w:rsidR="004A69FB">
              <w:rPr>
                <w:bCs/>
                <w:sz w:val="22"/>
                <w:szCs w:val="22"/>
              </w:rPr>
              <w:t xml:space="preserve"> Council Minutes </w:t>
            </w:r>
            <w:r>
              <w:rPr>
                <w:bCs/>
                <w:sz w:val="22"/>
                <w:szCs w:val="22"/>
              </w:rPr>
              <w:t xml:space="preserve">once it is </w:t>
            </w:r>
            <w:r w:rsidRPr="000F7AAA">
              <w:rPr>
                <w:bCs/>
                <w:sz w:val="22"/>
                <w:szCs w:val="22"/>
              </w:rPr>
              <w:t>confirmed that the Office of the Governor has  transferred their set as State archives.</w:t>
            </w:r>
          </w:p>
        </w:tc>
        <w:tc>
          <w:tcPr>
            <w:tcW w:w="1549" w:type="pct"/>
          </w:tcPr>
          <w:p w14:paraId="31768D8A" w14:textId="7E96F56F" w:rsidR="00EC001D" w:rsidRPr="00101C11" w:rsidRDefault="00015A46" w:rsidP="009567DB">
            <w:pPr>
              <w:pStyle w:val="BodyText"/>
              <w:rPr>
                <w:sz w:val="22"/>
                <w:szCs w:val="22"/>
              </w:rPr>
            </w:pPr>
            <w:r>
              <w:rPr>
                <w:sz w:val="22"/>
                <w:szCs w:val="22"/>
              </w:rPr>
              <w:t xml:space="preserve">The Office of the Governor </w:t>
            </w:r>
            <w:r w:rsidR="004A69FB">
              <w:rPr>
                <w:sz w:val="22"/>
                <w:szCs w:val="22"/>
              </w:rPr>
              <w:t xml:space="preserve">manages the </w:t>
            </w:r>
            <w:r w:rsidR="00BD63E7">
              <w:rPr>
                <w:sz w:val="22"/>
                <w:szCs w:val="22"/>
              </w:rPr>
              <w:t xml:space="preserve">hard copy </w:t>
            </w:r>
            <w:r w:rsidR="00526703">
              <w:rPr>
                <w:sz w:val="22"/>
                <w:szCs w:val="22"/>
              </w:rPr>
              <w:t xml:space="preserve">signed </w:t>
            </w:r>
            <w:r w:rsidR="004A69FB">
              <w:rPr>
                <w:sz w:val="22"/>
                <w:szCs w:val="22"/>
              </w:rPr>
              <w:t>set of Executive Council Minutes</w:t>
            </w:r>
            <w:r w:rsidR="00526703">
              <w:rPr>
                <w:sz w:val="22"/>
                <w:szCs w:val="22"/>
              </w:rPr>
              <w:t xml:space="preserve"> and </w:t>
            </w:r>
            <w:r>
              <w:rPr>
                <w:sz w:val="22"/>
                <w:szCs w:val="22"/>
              </w:rPr>
              <w:t xml:space="preserve">has </w:t>
            </w:r>
            <w:r w:rsidR="00526703">
              <w:rPr>
                <w:sz w:val="22"/>
                <w:szCs w:val="22"/>
              </w:rPr>
              <w:t xml:space="preserve">already transferred </w:t>
            </w:r>
            <w:r w:rsidR="004A69FB">
              <w:rPr>
                <w:sz w:val="22"/>
                <w:szCs w:val="22"/>
              </w:rPr>
              <w:t xml:space="preserve">up to 2007 </w:t>
            </w:r>
            <w:r>
              <w:rPr>
                <w:sz w:val="22"/>
                <w:szCs w:val="22"/>
              </w:rPr>
              <w:t xml:space="preserve">to the State </w:t>
            </w:r>
            <w:r w:rsidR="003C3DDC">
              <w:rPr>
                <w:sz w:val="22"/>
                <w:szCs w:val="22"/>
              </w:rPr>
              <w:t>A</w:t>
            </w:r>
            <w:r>
              <w:rPr>
                <w:sz w:val="22"/>
                <w:szCs w:val="22"/>
              </w:rPr>
              <w:t xml:space="preserve">rchives </w:t>
            </w:r>
            <w:r w:rsidR="00A95C2D">
              <w:rPr>
                <w:sz w:val="22"/>
                <w:szCs w:val="22"/>
              </w:rPr>
              <w:t>C</w:t>
            </w:r>
            <w:r>
              <w:rPr>
                <w:sz w:val="22"/>
                <w:szCs w:val="22"/>
              </w:rPr>
              <w:t>ollection</w:t>
            </w:r>
            <w:r w:rsidR="004A69FB">
              <w:rPr>
                <w:sz w:val="22"/>
                <w:szCs w:val="22"/>
              </w:rPr>
              <w:t xml:space="preserve">. The </w:t>
            </w:r>
            <w:r>
              <w:rPr>
                <w:sz w:val="22"/>
                <w:szCs w:val="22"/>
              </w:rPr>
              <w:t>more recent sets are held securely at Government House. It is not considered necessary for Cabinet to retain copies until they are transferred</w:t>
            </w:r>
            <w:r w:rsidR="00526703">
              <w:rPr>
                <w:sz w:val="22"/>
                <w:szCs w:val="22"/>
              </w:rPr>
              <w:t>.</w:t>
            </w:r>
          </w:p>
        </w:tc>
        <w:tc>
          <w:tcPr>
            <w:tcW w:w="514" w:type="pct"/>
          </w:tcPr>
          <w:p w14:paraId="2C20B210" w14:textId="685E9E25" w:rsidR="00EC001D" w:rsidRPr="00101C11" w:rsidRDefault="00B90A3F" w:rsidP="009567DB">
            <w:pPr>
              <w:pStyle w:val="BodyText"/>
              <w:rPr>
                <w:bCs/>
                <w:sz w:val="22"/>
                <w:szCs w:val="22"/>
              </w:rPr>
            </w:pPr>
            <w:r>
              <w:rPr>
                <w:bCs/>
                <w:sz w:val="22"/>
                <w:szCs w:val="22"/>
              </w:rPr>
              <w:t>1</w:t>
            </w:r>
          </w:p>
        </w:tc>
      </w:tr>
      <w:tr w:rsidR="003C4A80" w:rsidRPr="00101C11" w14:paraId="3DCDA45A" w14:textId="77777777" w:rsidTr="00203627">
        <w:tc>
          <w:tcPr>
            <w:tcW w:w="1394" w:type="pct"/>
          </w:tcPr>
          <w:p w14:paraId="1A0912DF" w14:textId="10D5F68F" w:rsidR="003C4A80" w:rsidRDefault="003C4A80" w:rsidP="009567DB">
            <w:pPr>
              <w:pStyle w:val="BodyText"/>
              <w:rPr>
                <w:sz w:val="22"/>
                <w:szCs w:val="22"/>
              </w:rPr>
            </w:pPr>
            <w:r>
              <w:rPr>
                <w:sz w:val="22"/>
                <w:szCs w:val="22"/>
              </w:rPr>
              <w:t>Cabinet and community Cabinet papers</w:t>
            </w:r>
          </w:p>
          <w:p w14:paraId="2E81DF9F" w14:textId="758E5A9A" w:rsidR="003C4A80" w:rsidRPr="001A3950" w:rsidRDefault="003C4A80" w:rsidP="009567DB">
            <w:pPr>
              <w:pStyle w:val="BodyText"/>
              <w:rPr>
                <w:sz w:val="22"/>
                <w:szCs w:val="22"/>
              </w:rPr>
            </w:pPr>
            <w:r>
              <w:rPr>
                <w:sz w:val="22"/>
                <w:szCs w:val="22"/>
              </w:rPr>
              <w:lastRenderedPageBreak/>
              <w:t>Required as State archives</w:t>
            </w:r>
          </w:p>
        </w:tc>
        <w:tc>
          <w:tcPr>
            <w:tcW w:w="1543" w:type="pct"/>
          </w:tcPr>
          <w:p w14:paraId="476CAE21" w14:textId="37D35EA1" w:rsidR="003C4A80" w:rsidRPr="001A3950" w:rsidRDefault="003C4A80" w:rsidP="001A3950">
            <w:pPr>
              <w:keepNext w:val="0"/>
              <w:widowControl w:val="0"/>
              <w:rPr>
                <w:szCs w:val="22"/>
              </w:rPr>
            </w:pPr>
            <w:r>
              <w:lastRenderedPageBreak/>
              <w:t xml:space="preserve">No change. Previously these records were covered in </w:t>
            </w:r>
            <w:r>
              <w:lastRenderedPageBreak/>
              <w:t xml:space="preserve">FA254 and have been moved into FA313. </w:t>
            </w:r>
          </w:p>
        </w:tc>
        <w:tc>
          <w:tcPr>
            <w:tcW w:w="1549" w:type="pct"/>
          </w:tcPr>
          <w:p w14:paraId="2F6110E4" w14:textId="14A4CE29" w:rsidR="003C4A80" w:rsidRPr="003C4A80" w:rsidRDefault="003C4A80" w:rsidP="009567DB">
            <w:pPr>
              <w:pStyle w:val="BodyText"/>
              <w:rPr>
                <w:sz w:val="22"/>
                <w:szCs w:val="22"/>
              </w:rPr>
            </w:pPr>
            <w:r w:rsidRPr="003C4A80">
              <w:rPr>
                <w:sz w:val="22"/>
                <w:szCs w:val="22"/>
              </w:rPr>
              <w:lastRenderedPageBreak/>
              <w:t>To simplify disposal.</w:t>
            </w:r>
          </w:p>
        </w:tc>
        <w:tc>
          <w:tcPr>
            <w:tcW w:w="514" w:type="pct"/>
          </w:tcPr>
          <w:p w14:paraId="39D1B9B2" w14:textId="6C0F1EE8" w:rsidR="003C4A80" w:rsidRDefault="003C4A80" w:rsidP="009567DB">
            <w:pPr>
              <w:pStyle w:val="BodyText"/>
              <w:rPr>
                <w:bCs/>
                <w:sz w:val="22"/>
                <w:szCs w:val="22"/>
              </w:rPr>
            </w:pPr>
            <w:r>
              <w:rPr>
                <w:bCs/>
                <w:sz w:val="22"/>
                <w:szCs w:val="22"/>
              </w:rPr>
              <w:t>2 &amp; 3</w:t>
            </w:r>
          </w:p>
        </w:tc>
      </w:tr>
      <w:tr w:rsidR="00F869F2" w:rsidRPr="00101C11" w14:paraId="51F5567D" w14:textId="77777777" w:rsidTr="00203627">
        <w:tc>
          <w:tcPr>
            <w:tcW w:w="1394" w:type="pct"/>
          </w:tcPr>
          <w:p w14:paraId="2DAD8FB3" w14:textId="77777777" w:rsidR="001A3950" w:rsidRDefault="001A3950" w:rsidP="009567DB">
            <w:pPr>
              <w:pStyle w:val="BodyText"/>
              <w:rPr>
                <w:sz w:val="22"/>
                <w:szCs w:val="22"/>
              </w:rPr>
            </w:pPr>
            <w:bookmarkStart w:id="1" w:name="_Hlk187850114"/>
            <w:bookmarkEnd w:id="0"/>
            <w:r w:rsidRPr="001A3950">
              <w:rPr>
                <w:sz w:val="22"/>
                <w:szCs w:val="22"/>
              </w:rPr>
              <w:t>Summary records of unsuccessful and successful community grants.</w:t>
            </w:r>
          </w:p>
          <w:p w14:paraId="7EA438F3" w14:textId="4D9A25EB" w:rsidR="00F869F2" w:rsidRPr="001A3950" w:rsidRDefault="001A3950" w:rsidP="009567DB">
            <w:pPr>
              <w:pStyle w:val="BodyText"/>
              <w:rPr>
                <w:sz w:val="22"/>
                <w:szCs w:val="22"/>
              </w:rPr>
            </w:pPr>
            <w:r w:rsidRPr="001A3950">
              <w:rPr>
                <w:sz w:val="22"/>
                <w:szCs w:val="22"/>
              </w:rPr>
              <w:t>Required as State archives</w:t>
            </w:r>
          </w:p>
        </w:tc>
        <w:tc>
          <w:tcPr>
            <w:tcW w:w="1543" w:type="pct"/>
          </w:tcPr>
          <w:p w14:paraId="49F8469E" w14:textId="724D4362" w:rsidR="001A3950" w:rsidRPr="001A3950" w:rsidRDefault="001A3950" w:rsidP="001A3950">
            <w:pPr>
              <w:keepNext w:val="0"/>
              <w:widowControl w:val="0"/>
              <w:rPr>
                <w:szCs w:val="22"/>
              </w:rPr>
            </w:pPr>
            <w:r w:rsidRPr="001A3950">
              <w:rPr>
                <w:szCs w:val="22"/>
              </w:rPr>
              <w:t>Previously summary records were only required as State archives where the information or detail was not otherwise documented in the organisation’s annual report, committee or panel records or ministerial submissions.</w:t>
            </w:r>
          </w:p>
          <w:p w14:paraId="7D29AD46" w14:textId="578334EF" w:rsidR="00F869F2" w:rsidRPr="001A3950" w:rsidRDefault="001A3950" w:rsidP="003C4A80">
            <w:pPr>
              <w:keepNext w:val="0"/>
              <w:widowControl w:val="0"/>
              <w:rPr>
                <w:bCs/>
                <w:szCs w:val="22"/>
              </w:rPr>
            </w:pPr>
            <w:r w:rsidRPr="001A3950">
              <w:rPr>
                <w:szCs w:val="22"/>
              </w:rPr>
              <w:t>This has been changed so that summary records of grants are required as State archives regardless of mentions in annual reports, committee records or panel reports.</w:t>
            </w:r>
          </w:p>
        </w:tc>
        <w:tc>
          <w:tcPr>
            <w:tcW w:w="1549" w:type="pct"/>
          </w:tcPr>
          <w:p w14:paraId="0F99F519" w14:textId="77777777" w:rsidR="001A3950" w:rsidRDefault="001A3950" w:rsidP="009567DB">
            <w:pPr>
              <w:pStyle w:val="BodyText"/>
              <w:rPr>
                <w:sz w:val="22"/>
                <w:szCs w:val="22"/>
              </w:rPr>
            </w:pPr>
            <w:r w:rsidRPr="001A3950">
              <w:rPr>
                <w:sz w:val="22"/>
                <w:szCs w:val="22"/>
              </w:rPr>
              <w:t>Details in annual reports can be minimal and access to information about grants will be facilitated by having the information in one place rather than in committee or panel records.</w:t>
            </w:r>
            <w:r w:rsidR="00526703">
              <w:rPr>
                <w:sz w:val="22"/>
                <w:szCs w:val="22"/>
              </w:rPr>
              <w:t xml:space="preserve"> There is public interest in grants awarded by the Premier after </w:t>
            </w:r>
            <w:r w:rsidR="00962A12">
              <w:rPr>
                <w:sz w:val="22"/>
                <w:szCs w:val="22"/>
              </w:rPr>
              <w:t xml:space="preserve">a </w:t>
            </w:r>
            <w:r w:rsidR="00526703">
              <w:rPr>
                <w:sz w:val="22"/>
                <w:szCs w:val="22"/>
              </w:rPr>
              <w:t xml:space="preserve">recent </w:t>
            </w:r>
            <w:hyperlink r:id="rId11" w:history="1">
              <w:r w:rsidR="00526703" w:rsidRPr="00962A12">
                <w:rPr>
                  <w:rStyle w:val="Hyperlink"/>
                  <w:rFonts w:ascii="Arial" w:hAnsi="Arial"/>
                  <w:sz w:val="22"/>
                  <w:szCs w:val="22"/>
                </w:rPr>
                <w:t>ICAC investigation</w:t>
              </w:r>
            </w:hyperlink>
            <w:r w:rsidR="00526703">
              <w:rPr>
                <w:sz w:val="22"/>
                <w:szCs w:val="22"/>
              </w:rPr>
              <w:t xml:space="preserve"> found corrupt conduct by a former Premier </w:t>
            </w:r>
            <w:r w:rsidR="00962A12">
              <w:rPr>
                <w:sz w:val="22"/>
                <w:szCs w:val="22"/>
              </w:rPr>
              <w:t xml:space="preserve">in connection with grant funding. </w:t>
            </w:r>
          </w:p>
          <w:p w14:paraId="42E93EF4" w14:textId="45EE4FF8" w:rsidR="003C4A80" w:rsidRPr="001A3950" w:rsidRDefault="003C4A80" w:rsidP="009567DB">
            <w:pPr>
              <w:pStyle w:val="BodyText"/>
              <w:rPr>
                <w:sz w:val="22"/>
                <w:szCs w:val="22"/>
              </w:rPr>
            </w:pPr>
            <w:r>
              <w:rPr>
                <w:sz w:val="22"/>
                <w:szCs w:val="22"/>
              </w:rPr>
              <w:t xml:space="preserve">The Cabinet Office now requires this type of summary record to be created in the </w:t>
            </w:r>
            <w:r w:rsidRPr="003C4A80">
              <w:rPr>
                <w:i/>
                <w:iCs/>
                <w:sz w:val="22"/>
                <w:szCs w:val="22"/>
              </w:rPr>
              <w:t>Grants Administration Guide.</w:t>
            </w:r>
          </w:p>
        </w:tc>
        <w:tc>
          <w:tcPr>
            <w:tcW w:w="514" w:type="pct"/>
          </w:tcPr>
          <w:p w14:paraId="0920FF78" w14:textId="4FD2854B" w:rsidR="00F869F2" w:rsidRDefault="001A3950" w:rsidP="009567DB">
            <w:pPr>
              <w:pStyle w:val="BodyText"/>
              <w:rPr>
                <w:bCs/>
                <w:sz w:val="22"/>
                <w:szCs w:val="22"/>
              </w:rPr>
            </w:pPr>
            <w:r>
              <w:rPr>
                <w:bCs/>
                <w:sz w:val="22"/>
                <w:szCs w:val="22"/>
              </w:rPr>
              <w:t>4</w:t>
            </w:r>
          </w:p>
        </w:tc>
      </w:tr>
      <w:tr w:rsidR="001A3950" w:rsidRPr="00101C11" w14:paraId="58FDF52A" w14:textId="77777777" w:rsidTr="00203627">
        <w:tc>
          <w:tcPr>
            <w:tcW w:w="1394" w:type="pct"/>
          </w:tcPr>
          <w:p w14:paraId="583CF38A" w14:textId="77777777" w:rsidR="001A3950" w:rsidRDefault="001A3950" w:rsidP="009567DB">
            <w:pPr>
              <w:pStyle w:val="BodyText"/>
              <w:rPr>
                <w:sz w:val="22"/>
                <w:szCs w:val="22"/>
              </w:rPr>
            </w:pPr>
            <w:r w:rsidRPr="001A3950">
              <w:rPr>
                <w:sz w:val="22"/>
                <w:szCs w:val="22"/>
              </w:rPr>
              <w:t xml:space="preserve">Final reports of the outcomes of projects funded by grants. </w:t>
            </w:r>
          </w:p>
          <w:p w14:paraId="0B35B7B2" w14:textId="76709625" w:rsidR="001A3950" w:rsidRPr="001A3950" w:rsidRDefault="001A3950" w:rsidP="009567DB">
            <w:pPr>
              <w:pStyle w:val="BodyText"/>
              <w:rPr>
                <w:sz w:val="22"/>
                <w:szCs w:val="22"/>
              </w:rPr>
            </w:pPr>
            <w:r w:rsidRPr="001A3950">
              <w:rPr>
                <w:sz w:val="22"/>
                <w:szCs w:val="22"/>
              </w:rPr>
              <w:t>Required as State archives.</w:t>
            </w:r>
          </w:p>
        </w:tc>
        <w:tc>
          <w:tcPr>
            <w:tcW w:w="1543" w:type="pct"/>
          </w:tcPr>
          <w:p w14:paraId="26D4E7A8" w14:textId="60504D85" w:rsidR="001A3950" w:rsidRPr="001A3950" w:rsidRDefault="007375CF" w:rsidP="009567DB">
            <w:pPr>
              <w:pStyle w:val="BodyText"/>
              <w:rPr>
                <w:bCs/>
                <w:sz w:val="22"/>
                <w:szCs w:val="22"/>
              </w:rPr>
            </w:pPr>
            <w:r>
              <w:rPr>
                <w:sz w:val="22"/>
                <w:szCs w:val="22"/>
              </w:rPr>
              <w:t>A gap in coverage was identified</w:t>
            </w:r>
            <w:r w:rsidR="003C4A80">
              <w:rPr>
                <w:sz w:val="22"/>
                <w:szCs w:val="22"/>
              </w:rPr>
              <w:t>.</w:t>
            </w:r>
          </w:p>
        </w:tc>
        <w:tc>
          <w:tcPr>
            <w:tcW w:w="1549" w:type="pct"/>
          </w:tcPr>
          <w:p w14:paraId="50C7D027" w14:textId="1860BFF7" w:rsidR="001A3950" w:rsidRPr="001A3950" w:rsidRDefault="007375CF" w:rsidP="009567DB">
            <w:pPr>
              <w:pStyle w:val="BodyText"/>
              <w:rPr>
                <w:sz w:val="22"/>
                <w:szCs w:val="22"/>
              </w:rPr>
            </w:pPr>
            <w:r>
              <w:rPr>
                <w:sz w:val="22"/>
                <w:szCs w:val="22"/>
              </w:rPr>
              <w:t xml:space="preserve">These reports will record details of the grants process and how public money was spent. </w:t>
            </w:r>
          </w:p>
        </w:tc>
        <w:tc>
          <w:tcPr>
            <w:tcW w:w="514" w:type="pct"/>
          </w:tcPr>
          <w:p w14:paraId="1C8943E2" w14:textId="50576B93" w:rsidR="001A3950" w:rsidRDefault="001A3950" w:rsidP="009567DB">
            <w:pPr>
              <w:pStyle w:val="BodyText"/>
              <w:rPr>
                <w:bCs/>
                <w:sz w:val="22"/>
                <w:szCs w:val="22"/>
              </w:rPr>
            </w:pPr>
            <w:r>
              <w:rPr>
                <w:bCs/>
                <w:sz w:val="22"/>
                <w:szCs w:val="22"/>
              </w:rPr>
              <w:t>4</w:t>
            </w:r>
          </w:p>
        </w:tc>
      </w:tr>
      <w:bookmarkEnd w:id="1"/>
      <w:tr w:rsidR="00F869F2" w:rsidRPr="00101C11" w14:paraId="7F5EA3CA" w14:textId="77777777" w:rsidTr="00203627">
        <w:tc>
          <w:tcPr>
            <w:tcW w:w="1394" w:type="pct"/>
          </w:tcPr>
          <w:p w14:paraId="5EB208F9" w14:textId="77777777" w:rsidR="00F869F2" w:rsidRPr="005A0367" w:rsidRDefault="005A0367" w:rsidP="009567DB">
            <w:pPr>
              <w:pStyle w:val="BodyText"/>
              <w:rPr>
                <w:sz w:val="22"/>
                <w:szCs w:val="22"/>
              </w:rPr>
            </w:pPr>
            <w:r w:rsidRPr="005A0367">
              <w:rPr>
                <w:sz w:val="22"/>
                <w:szCs w:val="22"/>
              </w:rPr>
              <w:t>S</w:t>
            </w:r>
            <w:r w:rsidR="00F869F2" w:rsidRPr="005A0367">
              <w:rPr>
                <w:sz w:val="22"/>
                <w:szCs w:val="22"/>
              </w:rPr>
              <w:t>uccessful grant</w:t>
            </w:r>
            <w:r w:rsidRPr="005A0367">
              <w:rPr>
                <w:sz w:val="22"/>
                <w:szCs w:val="22"/>
              </w:rPr>
              <w:t xml:space="preserve"> applications.</w:t>
            </w:r>
          </w:p>
          <w:p w14:paraId="3228F150" w14:textId="102AC9D4" w:rsidR="005A0367" w:rsidRPr="001A3950" w:rsidRDefault="005A0367" w:rsidP="005A0367">
            <w:pPr>
              <w:pStyle w:val="BodyText"/>
              <w:rPr>
                <w:sz w:val="22"/>
                <w:szCs w:val="22"/>
              </w:rPr>
            </w:pPr>
            <w:r w:rsidRPr="005A0367">
              <w:rPr>
                <w:sz w:val="22"/>
                <w:szCs w:val="22"/>
              </w:rPr>
              <w:t>Retain minimum of 7 years after all grant conditions are complete</w:t>
            </w:r>
          </w:p>
        </w:tc>
        <w:tc>
          <w:tcPr>
            <w:tcW w:w="1543" w:type="pct"/>
          </w:tcPr>
          <w:p w14:paraId="024DC92E" w14:textId="77777777" w:rsidR="005A0367" w:rsidRPr="005A0367" w:rsidRDefault="005A0367" w:rsidP="005A0367">
            <w:pPr>
              <w:keepNext w:val="0"/>
              <w:widowControl w:val="0"/>
              <w:rPr>
                <w:szCs w:val="22"/>
              </w:rPr>
            </w:pPr>
            <w:r w:rsidRPr="005A0367">
              <w:rPr>
                <w:szCs w:val="22"/>
              </w:rPr>
              <w:t>Previously successful grant applications for projects or services of State or regional significance were required as State archives.</w:t>
            </w:r>
          </w:p>
          <w:p w14:paraId="67BE4B06" w14:textId="6B60DD92" w:rsidR="005A0367" w:rsidRPr="001A3950" w:rsidRDefault="005A0367" w:rsidP="005A0367">
            <w:pPr>
              <w:pStyle w:val="BodyText"/>
              <w:rPr>
                <w:bCs/>
                <w:sz w:val="22"/>
                <w:szCs w:val="22"/>
              </w:rPr>
            </w:pPr>
            <w:r w:rsidRPr="005A0367">
              <w:rPr>
                <w:sz w:val="22"/>
                <w:szCs w:val="22"/>
              </w:rPr>
              <w:t xml:space="preserve">This has been removed so that all </w:t>
            </w:r>
            <w:r>
              <w:rPr>
                <w:sz w:val="22"/>
                <w:szCs w:val="22"/>
              </w:rPr>
              <w:t xml:space="preserve">successful </w:t>
            </w:r>
            <w:r w:rsidRPr="005A0367">
              <w:rPr>
                <w:sz w:val="22"/>
                <w:szCs w:val="22"/>
              </w:rPr>
              <w:t xml:space="preserve">grant applications are retained for 7 years after the project is finalised. </w:t>
            </w:r>
          </w:p>
        </w:tc>
        <w:tc>
          <w:tcPr>
            <w:tcW w:w="1549" w:type="pct"/>
          </w:tcPr>
          <w:p w14:paraId="0A511188" w14:textId="2ACEAB3D" w:rsidR="00F869F2" w:rsidRPr="001A3950" w:rsidRDefault="005A0367" w:rsidP="009567DB">
            <w:pPr>
              <w:pStyle w:val="BodyText"/>
              <w:rPr>
                <w:sz w:val="22"/>
                <w:szCs w:val="22"/>
              </w:rPr>
            </w:pPr>
            <w:r w:rsidRPr="005A0367">
              <w:rPr>
                <w:sz w:val="22"/>
                <w:szCs w:val="22"/>
              </w:rPr>
              <w:t xml:space="preserve">Grant applications tend to be operational records and the records of successful grants being retained as State archives under entry 4 (deliberations and decisions of committees or panels, submissions to the Premier, Premier’s approval, summary records of grants, and reports of </w:t>
            </w:r>
            <w:proofErr w:type="gramStart"/>
            <w:r w:rsidRPr="005A0367">
              <w:rPr>
                <w:sz w:val="22"/>
                <w:szCs w:val="22"/>
              </w:rPr>
              <w:t>outcomes)</w:t>
            </w:r>
            <w:r>
              <w:rPr>
                <w:sz w:val="22"/>
                <w:szCs w:val="22"/>
              </w:rPr>
              <w:t xml:space="preserve"> </w:t>
            </w:r>
            <w:r w:rsidRPr="005A0367">
              <w:rPr>
                <w:sz w:val="22"/>
                <w:szCs w:val="22"/>
              </w:rPr>
              <w:t xml:space="preserve"> meet</w:t>
            </w:r>
            <w:proofErr w:type="gramEnd"/>
            <w:r w:rsidRPr="005A0367">
              <w:rPr>
                <w:sz w:val="22"/>
                <w:szCs w:val="22"/>
              </w:rPr>
              <w:t xml:space="preserve"> State archives</w:t>
            </w:r>
            <w:r w:rsidR="00FD01FE">
              <w:rPr>
                <w:sz w:val="22"/>
                <w:szCs w:val="22"/>
              </w:rPr>
              <w:t>’</w:t>
            </w:r>
            <w:r w:rsidRPr="005A0367">
              <w:rPr>
                <w:sz w:val="22"/>
                <w:szCs w:val="22"/>
              </w:rPr>
              <w:t xml:space="preserve"> needs</w:t>
            </w:r>
            <w:r w:rsidR="000F0418">
              <w:rPr>
                <w:sz w:val="22"/>
                <w:szCs w:val="22"/>
              </w:rPr>
              <w:t>.</w:t>
            </w:r>
          </w:p>
        </w:tc>
        <w:tc>
          <w:tcPr>
            <w:tcW w:w="514" w:type="pct"/>
          </w:tcPr>
          <w:p w14:paraId="631A348B" w14:textId="5B3FC97E" w:rsidR="00F869F2" w:rsidRDefault="005A0367" w:rsidP="009567DB">
            <w:pPr>
              <w:pStyle w:val="BodyText"/>
              <w:rPr>
                <w:bCs/>
                <w:sz w:val="22"/>
                <w:szCs w:val="22"/>
              </w:rPr>
            </w:pPr>
            <w:r>
              <w:rPr>
                <w:bCs/>
                <w:sz w:val="22"/>
                <w:szCs w:val="22"/>
              </w:rPr>
              <w:t>5</w:t>
            </w:r>
          </w:p>
        </w:tc>
      </w:tr>
      <w:tr w:rsidR="00F869F2" w:rsidRPr="00101C11" w14:paraId="735B9E28" w14:textId="77777777" w:rsidTr="00203627">
        <w:tc>
          <w:tcPr>
            <w:tcW w:w="1394" w:type="pct"/>
          </w:tcPr>
          <w:p w14:paraId="0ACB9474" w14:textId="77777777" w:rsidR="00F869F2" w:rsidRPr="005A0367" w:rsidRDefault="005A0367" w:rsidP="009567DB">
            <w:pPr>
              <w:pStyle w:val="BodyText"/>
              <w:rPr>
                <w:sz w:val="22"/>
                <w:szCs w:val="22"/>
              </w:rPr>
            </w:pPr>
            <w:r w:rsidRPr="005A0367">
              <w:rPr>
                <w:sz w:val="22"/>
                <w:szCs w:val="22"/>
              </w:rPr>
              <w:t xml:space="preserve">Unsuccessful </w:t>
            </w:r>
            <w:r w:rsidR="00F869F2" w:rsidRPr="005A0367">
              <w:rPr>
                <w:sz w:val="22"/>
                <w:szCs w:val="22"/>
              </w:rPr>
              <w:t>grant applications</w:t>
            </w:r>
            <w:r w:rsidRPr="005A0367">
              <w:rPr>
                <w:sz w:val="22"/>
                <w:szCs w:val="22"/>
              </w:rPr>
              <w:t>.</w:t>
            </w:r>
          </w:p>
          <w:p w14:paraId="0AEE35A1" w14:textId="095F413E" w:rsidR="005A0367" w:rsidRPr="00167A97" w:rsidRDefault="005A0367" w:rsidP="009567DB">
            <w:pPr>
              <w:pStyle w:val="BodyText"/>
              <w:rPr>
                <w:sz w:val="22"/>
                <w:szCs w:val="22"/>
              </w:rPr>
            </w:pPr>
            <w:r w:rsidRPr="005A0367">
              <w:rPr>
                <w:sz w:val="22"/>
                <w:szCs w:val="22"/>
              </w:rPr>
              <w:t>Retain minimum of 7 years after action completed, then destroy</w:t>
            </w:r>
          </w:p>
        </w:tc>
        <w:tc>
          <w:tcPr>
            <w:tcW w:w="1543" w:type="pct"/>
          </w:tcPr>
          <w:p w14:paraId="6F8C2166" w14:textId="7B3FDF67" w:rsidR="00F869F2" w:rsidRPr="00167A97" w:rsidRDefault="00F869F2" w:rsidP="009567DB">
            <w:pPr>
              <w:pStyle w:val="BodyText"/>
              <w:rPr>
                <w:sz w:val="22"/>
                <w:szCs w:val="22"/>
              </w:rPr>
            </w:pPr>
            <w:r w:rsidRPr="00167A97">
              <w:rPr>
                <w:sz w:val="22"/>
                <w:szCs w:val="22"/>
              </w:rPr>
              <w:t>Retention period increased from 4 to 7 years</w:t>
            </w:r>
            <w:r>
              <w:rPr>
                <w:sz w:val="22"/>
                <w:szCs w:val="22"/>
              </w:rPr>
              <w:t>.</w:t>
            </w:r>
          </w:p>
        </w:tc>
        <w:tc>
          <w:tcPr>
            <w:tcW w:w="1549" w:type="pct"/>
          </w:tcPr>
          <w:p w14:paraId="6DEA43EF" w14:textId="33B44194" w:rsidR="00F869F2" w:rsidRPr="00167A97" w:rsidRDefault="005A0367" w:rsidP="009567DB">
            <w:pPr>
              <w:pStyle w:val="BodyText"/>
              <w:rPr>
                <w:sz w:val="22"/>
                <w:szCs w:val="22"/>
              </w:rPr>
            </w:pPr>
            <w:r>
              <w:rPr>
                <w:sz w:val="22"/>
                <w:szCs w:val="22"/>
              </w:rPr>
              <w:t>To allow for auditing of records which can take place up to 6 years after decision not to approve application.</w:t>
            </w:r>
          </w:p>
        </w:tc>
        <w:tc>
          <w:tcPr>
            <w:tcW w:w="514" w:type="pct"/>
          </w:tcPr>
          <w:p w14:paraId="4F3D07A8" w14:textId="02B09836" w:rsidR="00F869F2" w:rsidRDefault="005A0367" w:rsidP="009567DB">
            <w:pPr>
              <w:pStyle w:val="BodyText"/>
              <w:rPr>
                <w:bCs/>
                <w:sz w:val="22"/>
                <w:szCs w:val="22"/>
              </w:rPr>
            </w:pPr>
            <w:r>
              <w:rPr>
                <w:bCs/>
                <w:sz w:val="22"/>
                <w:szCs w:val="22"/>
              </w:rPr>
              <w:t>6</w:t>
            </w:r>
          </w:p>
        </w:tc>
      </w:tr>
    </w:tbl>
    <w:p w14:paraId="38B86601" w14:textId="29F7A6FB" w:rsidR="008A5010" w:rsidRDefault="005D4B9C" w:rsidP="002E636D">
      <w:pPr>
        <w:keepNext w:val="0"/>
        <w:widowControl w:val="0"/>
        <w:rPr>
          <w:b/>
        </w:rPr>
      </w:pPr>
      <w:r>
        <w:rPr>
          <w:b/>
        </w:rPr>
        <w:br w:type="column"/>
      </w:r>
      <w:r w:rsidR="008F6A94">
        <w:rPr>
          <w:b/>
        </w:rPr>
        <w:lastRenderedPageBreak/>
        <w:t>Benchmarking</w:t>
      </w:r>
    </w:p>
    <w:p w14:paraId="541BCC47" w14:textId="5A453CC3" w:rsidR="00331E91" w:rsidRDefault="00331E91" w:rsidP="00331E91">
      <w:pPr>
        <w:rPr>
          <w:rFonts w:eastAsia="Arial"/>
          <w:lang w:eastAsia="en-US"/>
        </w:rPr>
      </w:pPr>
      <w:r>
        <w:rPr>
          <w:rFonts w:eastAsia="Arial"/>
          <w:lang w:eastAsia="en-US"/>
        </w:rPr>
        <w:t>T</w:t>
      </w:r>
      <w:r w:rsidRPr="00D23F19">
        <w:rPr>
          <w:rFonts w:eastAsia="Arial"/>
          <w:lang w:eastAsia="en-US"/>
        </w:rPr>
        <w:t>he authority has been benchmarked against:</w:t>
      </w:r>
    </w:p>
    <w:p w14:paraId="152E006B" w14:textId="06236751" w:rsidR="008A5010" w:rsidRDefault="008F6A94" w:rsidP="002E636D">
      <w:pPr>
        <w:keepNext w:val="0"/>
        <w:widowControl w:val="0"/>
        <w:numPr>
          <w:ilvl w:val="0"/>
          <w:numId w:val="1"/>
        </w:numPr>
      </w:pPr>
      <w:r>
        <w:t>Victoria</w:t>
      </w:r>
      <w:r w:rsidR="00BD63E7">
        <w:t>:</w:t>
      </w:r>
      <w:r>
        <w:t xml:space="preserve"> Department of Premier and Cabinet (2024)</w:t>
      </w:r>
    </w:p>
    <w:p w14:paraId="20D2CA5C" w14:textId="4B9A18F3" w:rsidR="008A5010" w:rsidRDefault="008F6A94" w:rsidP="002E636D">
      <w:pPr>
        <w:keepNext w:val="0"/>
        <w:widowControl w:val="0"/>
        <w:numPr>
          <w:ilvl w:val="0"/>
          <w:numId w:val="1"/>
        </w:numPr>
      </w:pPr>
      <w:r>
        <w:t>South Australia</w:t>
      </w:r>
      <w:r w:rsidR="00BD63E7">
        <w:t>:</w:t>
      </w:r>
      <w:r>
        <w:t xml:space="preserve"> Department of Premier and Cabinet (2021)</w:t>
      </w:r>
    </w:p>
    <w:p w14:paraId="012E7D50" w14:textId="2E4F3C59" w:rsidR="008A5010" w:rsidRDefault="008F6A94" w:rsidP="005D4B9C">
      <w:pPr>
        <w:keepNext w:val="0"/>
        <w:widowControl w:val="0"/>
        <w:numPr>
          <w:ilvl w:val="0"/>
          <w:numId w:val="1"/>
        </w:numPr>
      </w:pPr>
      <w:r>
        <w:t>Queensland</w:t>
      </w:r>
      <w:r w:rsidR="00BD63E7">
        <w:t>:</w:t>
      </w:r>
      <w:r>
        <w:t xml:space="preserve"> Department of the Premier and Cabinet (2012)</w:t>
      </w:r>
    </w:p>
    <w:p w14:paraId="6F8A0741" w14:textId="74638A5D" w:rsidR="008A5010" w:rsidRDefault="008F6A94" w:rsidP="002E636D">
      <w:pPr>
        <w:keepNext w:val="0"/>
        <w:widowControl w:val="0"/>
        <w:numPr>
          <w:ilvl w:val="0"/>
          <w:numId w:val="1"/>
        </w:numPr>
      </w:pPr>
      <w:r>
        <w:t>Tasmania</w:t>
      </w:r>
      <w:r w:rsidR="00BD63E7">
        <w:t>:</w:t>
      </w:r>
      <w:r>
        <w:t xml:space="preserve"> Department of Premier and Cabinet (2007)</w:t>
      </w:r>
    </w:p>
    <w:p w14:paraId="03FCF2D9" w14:textId="77777777" w:rsidR="00331E91" w:rsidRDefault="00331E91" w:rsidP="00331E91">
      <w:pPr>
        <w:keepNext w:val="0"/>
        <w:widowControl w:val="0"/>
        <w:ind w:left="643"/>
      </w:pPr>
    </w:p>
    <w:p w14:paraId="1D45345D" w14:textId="77777777" w:rsidR="008A5010" w:rsidRDefault="008F6A94" w:rsidP="002E636D">
      <w:pPr>
        <w:keepNext w:val="0"/>
        <w:widowControl w:val="0"/>
        <w:rPr>
          <w:b/>
        </w:rPr>
      </w:pPr>
      <w:r>
        <w:rPr>
          <w:b/>
        </w:rPr>
        <w:t>Consultation</w:t>
      </w:r>
    </w:p>
    <w:p w14:paraId="16B4BA20" w14:textId="77777777" w:rsidR="00BD63E7" w:rsidRDefault="006C6898" w:rsidP="002E636D">
      <w:pPr>
        <w:keepNext w:val="0"/>
        <w:widowControl w:val="0"/>
      </w:pPr>
      <w:r w:rsidRPr="006C6898">
        <w:t xml:space="preserve">State Records NSW consulted with the </w:t>
      </w:r>
      <w:r w:rsidR="00BD63E7">
        <w:t>following:</w:t>
      </w:r>
    </w:p>
    <w:p w14:paraId="00849162" w14:textId="5555D421" w:rsidR="000B73B1" w:rsidRPr="000B73B1" w:rsidRDefault="00BD63E7" w:rsidP="000B73B1">
      <w:pPr>
        <w:pStyle w:val="ListParagraph"/>
        <w:keepNext w:val="0"/>
        <w:widowControl w:val="0"/>
        <w:numPr>
          <w:ilvl w:val="0"/>
          <w:numId w:val="11"/>
        </w:numPr>
      </w:pPr>
      <w:r>
        <w:t xml:space="preserve">The </w:t>
      </w:r>
      <w:r w:rsidR="006C6898">
        <w:t>Audit Office of NSW</w:t>
      </w:r>
      <w:r>
        <w:t xml:space="preserve">: </w:t>
      </w:r>
      <w:r w:rsidR="000B73B1">
        <w:t xml:space="preserve">the </w:t>
      </w:r>
      <w:r w:rsidR="000B73B1" w:rsidRPr="000B73B1">
        <w:t xml:space="preserve">Acting Assistant Auditor-General - Performance </w:t>
      </w:r>
      <w:proofErr w:type="gramStart"/>
      <w:r w:rsidR="000B73B1" w:rsidRPr="000B73B1">
        <w:t>Audit</w:t>
      </w:r>
      <w:r w:rsidR="000B73B1">
        <w:t xml:space="preserve"> </w:t>
      </w:r>
      <w:r w:rsidR="000B73B1" w:rsidRPr="000B73B1">
        <w:t xml:space="preserve"> consulted</w:t>
      </w:r>
      <w:proofErr w:type="gramEnd"/>
      <w:r w:rsidR="000B73B1" w:rsidRPr="000B73B1">
        <w:t xml:space="preserve"> with staff who have worked on audits of grants administration in the past and they have noted that </w:t>
      </w:r>
      <w:r w:rsidR="000B73B1">
        <w:t xml:space="preserve">they </w:t>
      </w:r>
      <w:r w:rsidR="000B73B1" w:rsidRPr="000B73B1">
        <w:t xml:space="preserve">have not faced any issues previously where </w:t>
      </w:r>
      <w:r w:rsidR="000B73B1">
        <w:t xml:space="preserve">they </w:t>
      </w:r>
      <w:r w:rsidR="000B73B1" w:rsidRPr="000B73B1">
        <w:t xml:space="preserve">have been unable to access grants administration records because they weren’t retained for a long enough period. </w:t>
      </w:r>
    </w:p>
    <w:p w14:paraId="7264FC28" w14:textId="253E15B2" w:rsidR="006C6898" w:rsidRDefault="000B73B1" w:rsidP="00BD63E7">
      <w:pPr>
        <w:pStyle w:val="ListParagraph"/>
        <w:keepNext w:val="0"/>
        <w:widowControl w:val="0"/>
        <w:numPr>
          <w:ilvl w:val="0"/>
          <w:numId w:val="11"/>
        </w:numPr>
      </w:pPr>
      <w:r>
        <w:t xml:space="preserve">The </w:t>
      </w:r>
      <w:r w:rsidR="006C6898">
        <w:t>Independent Commission Against Corruption (ICAC)</w:t>
      </w:r>
      <w:r>
        <w:t>: n</w:t>
      </w:r>
      <w:r w:rsidR="00BD63E7">
        <w:t>o response received.</w:t>
      </w:r>
      <w:r w:rsidR="006C6898" w:rsidRPr="006C6898">
        <w:t xml:space="preserve"> </w:t>
      </w:r>
    </w:p>
    <w:p w14:paraId="02610964" w14:textId="104932E6" w:rsidR="00BD63E7" w:rsidRDefault="00BD63E7" w:rsidP="00BD63E7">
      <w:pPr>
        <w:pStyle w:val="ListParagraph"/>
        <w:keepNext w:val="0"/>
        <w:widowControl w:val="0"/>
        <w:numPr>
          <w:ilvl w:val="0"/>
          <w:numId w:val="11"/>
        </w:numPr>
      </w:pPr>
      <w:r>
        <w:t>Museums of History NSW</w:t>
      </w:r>
      <w:r w:rsidR="003F642C">
        <w:t xml:space="preserve"> supported the changes</w:t>
      </w:r>
      <w:r w:rsidR="003C4A80">
        <w:t>.</w:t>
      </w:r>
      <w:r>
        <w:t xml:space="preserve"> </w:t>
      </w:r>
    </w:p>
    <w:p w14:paraId="43FB2B3E" w14:textId="77777777" w:rsidR="000B73B1" w:rsidRDefault="004E1FCF" w:rsidP="002E636D">
      <w:pPr>
        <w:keepNext w:val="0"/>
        <w:widowControl w:val="0"/>
      </w:pPr>
      <w:r>
        <w:t>Shane Hamilton, Acting Secretary, Premier’s Department, and Kate Boyd, Secretary, The Cabinet Office, advised in the submission that the nominated minimum retention periods and disposal actions meet current legal and statutory obligations and the administrative requirements of the organisation.</w:t>
      </w:r>
    </w:p>
    <w:p w14:paraId="49322CE4" w14:textId="258872D4" w:rsidR="006C6898" w:rsidRDefault="000B73B1" w:rsidP="002E636D">
      <w:pPr>
        <w:keepNext w:val="0"/>
        <w:widowControl w:val="0"/>
      </w:pPr>
      <w:r>
        <w:t>FA254 will be superseded.</w:t>
      </w:r>
      <w:r w:rsidR="004E1FCF">
        <w:t xml:space="preserve">  </w:t>
      </w:r>
    </w:p>
    <w:p w14:paraId="02F69A72" w14:textId="77777777" w:rsidR="008A5010" w:rsidRDefault="008F6A94" w:rsidP="002E636D">
      <w:pPr>
        <w:pStyle w:val="ARH1"/>
        <w:keepNext w:val="0"/>
        <w:widowControl w:val="0"/>
      </w:pPr>
      <w:r>
        <w:t>Recommendation</w:t>
      </w:r>
    </w:p>
    <w:p w14:paraId="498FC5E7" w14:textId="77777777" w:rsidR="008A5010" w:rsidRDefault="008F6A94" w:rsidP="002E636D">
      <w:pPr>
        <w:keepNext w:val="0"/>
        <w:widowControl w:val="0"/>
      </w:pPr>
      <w:r>
        <w:t xml:space="preserve">The Board </w:t>
      </w:r>
      <w:r>
        <w:rPr>
          <w:b/>
        </w:rPr>
        <w:t>approve</w:t>
      </w:r>
      <w:r>
        <w:t xml:space="preserve"> this report with the corresponding attachment.</w:t>
      </w:r>
    </w:p>
    <w:p w14:paraId="2BA81B7E" w14:textId="77777777" w:rsidR="008A5010" w:rsidRDefault="008F6A94" w:rsidP="002E636D">
      <w:pPr>
        <w:pStyle w:val="ARH1"/>
        <w:keepNext w:val="0"/>
        <w:widowControl w:val="0"/>
      </w:pPr>
      <w:r>
        <w:t>Attachments</w:t>
      </w:r>
    </w:p>
    <w:tbl>
      <w:tblPr>
        <w:tblW w:w="5000" w:type="pct"/>
        <w:tblBorders>
          <w:insideH w:val="single" w:sz="6" w:space="0" w:color="BAECFF"/>
          <w:insideV w:val="single" w:sz="6" w:space="0" w:color="BAECFF"/>
        </w:tblBorders>
        <w:tblLook w:val="04A0" w:firstRow="1" w:lastRow="0" w:firstColumn="1" w:lastColumn="0" w:noHBand="0" w:noVBand="1"/>
      </w:tblPr>
      <w:tblGrid>
        <w:gridCol w:w="1612"/>
        <w:gridCol w:w="8593"/>
      </w:tblGrid>
      <w:tr w:rsidR="008A5010" w14:paraId="3E2A46AA" w14:textId="77777777" w:rsidTr="00140FAD">
        <w:tc>
          <w:tcPr>
            <w:tcW w:w="790" w:type="pct"/>
            <w:tcBorders>
              <w:top w:val="nil"/>
              <w:left w:val="nil"/>
              <w:bottom w:val="single" w:sz="4" w:space="0" w:color="auto"/>
              <w:right w:val="single" w:sz="4" w:space="0" w:color="auto"/>
            </w:tcBorders>
            <w:shd w:val="clear" w:color="auto" w:fill="002060"/>
            <w:tcMar>
              <w:left w:w="108" w:type="dxa"/>
            </w:tcMar>
          </w:tcPr>
          <w:p w14:paraId="6B3382D1" w14:textId="77777777" w:rsidR="008A5010" w:rsidRDefault="008F6A94" w:rsidP="002E636D">
            <w:pPr>
              <w:keepNext w:val="0"/>
              <w:widowControl w:val="0"/>
              <w:spacing w:before="120" w:line="240" w:lineRule="atLeast"/>
              <w:jc w:val="both"/>
              <w:rPr>
                <w:rFonts w:cs="Arial"/>
                <w:szCs w:val="22"/>
              </w:rPr>
            </w:pPr>
            <w:r>
              <w:rPr>
                <w:rFonts w:cs="Arial"/>
                <w:szCs w:val="22"/>
              </w:rPr>
              <w:t>Attachment</w:t>
            </w:r>
          </w:p>
        </w:tc>
        <w:tc>
          <w:tcPr>
            <w:tcW w:w="4210" w:type="pct"/>
            <w:tcBorders>
              <w:top w:val="nil"/>
              <w:left w:val="single" w:sz="4" w:space="0" w:color="auto"/>
              <w:bottom w:val="single" w:sz="4" w:space="0" w:color="auto"/>
              <w:right w:val="nil"/>
            </w:tcBorders>
            <w:shd w:val="clear" w:color="auto" w:fill="002060"/>
          </w:tcPr>
          <w:p w14:paraId="322E8828" w14:textId="77777777" w:rsidR="008A5010" w:rsidRDefault="008F6A94" w:rsidP="002E636D">
            <w:pPr>
              <w:keepNext w:val="0"/>
              <w:widowControl w:val="0"/>
              <w:spacing w:before="120" w:line="240" w:lineRule="atLeast"/>
              <w:jc w:val="both"/>
              <w:rPr>
                <w:rFonts w:cs="Arial"/>
                <w:szCs w:val="22"/>
              </w:rPr>
            </w:pPr>
            <w:r>
              <w:rPr>
                <w:rFonts w:cs="Arial"/>
                <w:szCs w:val="22"/>
              </w:rPr>
              <w:t>Title</w:t>
            </w:r>
          </w:p>
        </w:tc>
      </w:tr>
      <w:tr w:rsidR="008A5010" w14:paraId="26A20691" w14:textId="77777777" w:rsidTr="00140FAD">
        <w:tc>
          <w:tcPr>
            <w:tcW w:w="790" w:type="pct"/>
            <w:tcBorders>
              <w:top w:val="single" w:sz="4" w:space="0" w:color="auto"/>
              <w:bottom w:val="single" w:sz="4" w:space="0" w:color="auto"/>
              <w:right w:val="single" w:sz="4" w:space="0" w:color="auto"/>
            </w:tcBorders>
            <w:shd w:val="clear" w:color="auto" w:fill="auto"/>
          </w:tcPr>
          <w:p w14:paraId="76E5C351" w14:textId="36424E62" w:rsidR="008A5010" w:rsidRDefault="003C4A80" w:rsidP="002E636D">
            <w:pPr>
              <w:keepNext w:val="0"/>
              <w:widowControl w:val="0"/>
              <w:spacing w:before="120" w:line="240" w:lineRule="atLeast"/>
              <w:jc w:val="center"/>
              <w:rPr>
                <w:rFonts w:cs="Arial"/>
                <w:szCs w:val="22"/>
                <w:lang w:eastAsia="ja-JP"/>
              </w:rPr>
            </w:pPr>
            <w:r>
              <w:rPr>
                <w:rFonts w:cs="Arial"/>
                <w:szCs w:val="22"/>
                <w:lang w:eastAsia="ja-JP"/>
              </w:rPr>
              <w:t>7.</w:t>
            </w:r>
            <w:r w:rsidR="000620D4">
              <w:rPr>
                <w:rFonts w:cs="Arial"/>
                <w:szCs w:val="22"/>
                <w:lang w:eastAsia="ja-JP"/>
              </w:rPr>
              <w:t>1</w:t>
            </w:r>
            <w:r w:rsidR="008F6A94">
              <w:rPr>
                <w:rFonts w:cs="Arial"/>
                <w:szCs w:val="22"/>
                <w:lang w:eastAsia="ja-JP"/>
              </w:rPr>
              <w:t xml:space="preserve"> - A</w:t>
            </w:r>
          </w:p>
        </w:tc>
        <w:tc>
          <w:tcPr>
            <w:tcW w:w="4210" w:type="pct"/>
            <w:tcBorders>
              <w:top w:val="single" w:sz="4" w:space="0" w:color="auto"/>
              <w:left w:val="single" w:sz="4" w:space="0" w:color="auto"/>
              <w:bottom w:val="single" w:sz="4" w:space="0" w:color="auto"/>
            </w:tcBorders>
            <w:shd w:val="clear" w:color="auto" w:fill="auto"/>
          </w:tcPr>
          <w:p w14:paraId="6782F947" w14:textId="40B3B38B" w:rsidR="008A5010" w:rsidRDefault="008F6A94" w:rsidP="002E636D">
            <w:pPr>
              <w:keepNext w:val="0"/>
              <w:widowControl w:val="0"/>
              <w:spacing w:before="120" w:line="240" w:lineRule="atLeast"/>
              <w:jc w:val="both"/>
              <w:rPr>
                <w:rFonts w:cs="Arial"/>
                <w:szCs w:val="22"/>
                <w:lang w:eastAsia="ja-JP"/>
              </w:rPr>
            </w:pPr>
            <w:r>
              <w:rPr>
                <w:rFonts w:eastAsia="Public Sans Light" w:cs="Arial"/>
                <w:szCs w:val="22"/>
              </w:rPr>
              <w:t xml:space="preserve">Appraisal Report </w:t>
            </w:r>
            <w:r w:rsidR="00930166">
              <w:rPr>
                <w:rFonts w:eastAsia="Public Sans Light" w:cs="Arial"/>
                <w:szCs w:val="22"/>
              </w:rPr>
              <w:t>573</w:t>
            </w:r>
          </w:p>
        </w:tc>
      </w:tr>
    </w:tbl>
    <w:p w14:paraId="63692FE2" w14:textId="77777777" w:rsidR="008A5010" w:rsidRDefault="008A5010" w:rsidP="002E636D">
      <w:pPr>
        <w:keepNext w:val="0"/>
        <w:widowControl w:val="0"/>
        <w:rPr>
          <w:b/>
        </w:rPr>
        <w:sectPr w:rsidR="008A5010" w:rsidSect="00136F08">
          <w:footerReference w:type="default" r:id="rId12"/>
          <w:headerReference w:type="first" r:id="rId13"/>
          <w:footerReference w:type="first" r:id="rId14"/>
          <w:pgSz w:w="11907" w:h="16840" w:code="9"/>
          <w:pgMar w:top="851" w:right="851" w:bottom="1276" w:left="851" w:header="567" w:footer="567" w:gutter="0"/>
          <w:paperSrc w:first="7" w:other="7"/>
          <w:cols w:space="720"/>
          <w:titlePg/>
        </w:sectPr>
      </w:pPr>
    </w:p>
    <w:p w14:paraId="555ED548" w14:textId="77EA43D0" w:rsidR="008A5010" w:rsidRDefault="008F6A94" w:rsidP="002E636D">
      <w:pPr>
        <w:pStyle w:val="Heading1"/>
        <w:keepNext w:val="0"/>
        <w:pageBreakBefore/>
        <w:widowControl w:val="0"/>
      </w:pPr>
      <w:bookmarkStart w:id="2" w:name="id4517536"/>
      <w:r>
        <w:lastRenderedPageBreak/>
        <w:t>CABINET SERVICES</w:t>
      </w:r>
      <w:bookmarkEnd w:id="2"/>
    </w:p>
    <w:p w14:paraId="3228FF60" w14:textId="77777777" w:rsidR="008A5010" w:rsidRDefault="008F6A94" w:rsidP="002E636D">
      <w:pPr>
        <w:keepNext w:val="0"/>
        <w:widowControl w:val="0"/>
      </w:pPr>
      <w:r>
        <w:t>The provision of administrative services to Cabinet and its committees and to the Executive Council.</w:t>
      </w:r>
    </w:p>
    <w:p w14:paraId="69D9E601" w14:textId="77777777" w:rsidR="008A5010" w:rsidRDefault="008A5010" w:rsidP="002E636D">
      <w:pPr>
        <w:keepNext w:val="0"/>
        <w:widowControl w:val="0"/>
        <w:spacing w:before="0"/>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78C09E17" w14:textId="77777777" w:rsidTr="002357FA">
        <w:trPr>
          <w:jc w:val="center"/>
        </w:trPr>
        <w:tc>
          <w:tcPr>
            <w:tcW w:w="547" w:type="pct"/>
            <w:shd w:val="clear" w:color="auto" w:fill="F2F2F2" w:themeFill="background1" w:themeFillShade="F2"/>
          </w:tcPr>
          <w:p w14:paraId="6759B649" w14:textId="26B09499" w:rsidR="008A5010" w:rsidRDefault="008F6A94" w:rsidP="002E636D">
            <w:pPr>
              <w:keepNext w:val="0"/>
              <w:widowControl w:val="0"/>
            </w:pPr>
            <w:r>
              <w:t>1</w:t>
            </w:r>
          </w:p>
          <w:p w14:paraId="77B30D5F" w14:textId="77777777" w:rsidR="008A5010" w:rsidRDefault="008F6A94" w:rsidP="002E636D">
            <w:pPr>
              <w:keepNext w:val="0"/>
              <w:widowControl w:val="0"/>
            </w:pPr>
            <w:r>
              <w:rPr>
                <w:rStyle w:val="HiddenChar"/>
              </w:rPr>
              <w:t>CABINET SERVICES</w:t>
            </w:r>
          </w:p>
        </w:tc>
        <w:tc>
          <w:tcPr>
            <w:tcW w:w="3203" w:type="pct"/>
            <w:shd w:val="clear" w:color="auto" w:fill="F2F2F2" w:themeFill="background1" w:themeFillShade="F2"/>
          </w:tcPr>
          <w:p w14:paraId="2B14E335" w14:textId="13B0B096" w:rsidR="008A5010" w:rsidRDefault="004A69FB" w:rsidP="002E636D">
            <w:pPr>
              <w:keepNext w:val="0"/>
              <w:widowControl w:val="0"/>
            </w:pPr>
            <w:r>
              <w:t xml:space="preserve">The </w:t>
            </w:r>
            <w:r w:rsidR="008F6A94">
              <w:t>Cabinet Office</w:t>
            </w:r>
            <w:r>
              <w:t>’s</w:t>
            </w:r>
            <w:r w:rsidR="008F6A94">
              <w:t xml:space="preserve"> set of agenda and </w:t>
            </w:r>
            <w:r>
              <w:t>Executive Council M</w:t>
            </w:r>
            <w:r w:rsidR="008F6A94">
              <w:t>inute</w:t>
            </w:r>
            <w:r>
              <w:t>s</w:t>
            </w:r>
            <w:r w:rsidR="008F6A94">
              <w:t xml:space="preserve">. </w:t>
            </w:r>
          </w:p>
          <w:p w14:paraId="5B5D3F18" w14:textId="1FB07C83" w:rsidR="008A5010" w:rsidRDefault="008F6A94" w:rsidP="002E636D">
            <w:pPr>
              <w:keepNext w:val="0"/>
              <w:widowControl w:val="0"/>
            </w:pPr>
            <w:r>
              <w:rPr>
                <w:b/>
              </w:rPr>
              <w:t>Note:</w:t>
            </w:r>
            <w:r>
              <w:t xml:space="preserve"> the Office of the Governor retains </w:t>
            </w:r>
            <w:r w:rsidR="004A69FB">
              <w:t xml:space="preserve">the </w:t>
            </w:r>
            <w:proofErr w:type="gramStart"/>
            <w:r w:rsidR="00D327E9">
              <w:t xml:space="preserve">original </w:t>
            </w:r>
            <w:r>
              <w:t xml:space="preserve"> copy</w:t>
            </w:r>
            <w:proofErr w:type="gramEnd"/>
            <w:r>
              <w:t xml:space="preserve"> of Executive Council </w:t>
            </w:r>
            <w:r w:rsidR="00D327E9">
              <w:t>Minutes</w:t>
            </w:r>
            <w:r w:rsidR="00060AD9">
              <w:t xml:space="preserve"> signed by the Governor</w:t>
            </w:r>
            <w:r w:rsidR="00D327E9">
              <w:t xml:space="preserve">. </w:t>
            </w:r>
            <w:r w:rsidR="00060AD9">
              <w:t xml:space="preserve">A copy of the Executive Council Minute and the </w:t>
            </w:r>
            <w:r w:rsidR="00D327E9">
              <w:t xml:space="preserve">attached business papers </w:t>
            </w:r>
            <w:r>
              <w:t xml:space="preserve">are returned to the originating Department, which is responsible for transferring the papers as State archives under the </w:t>
            </w:r>
            <w:r>
              <w:rPr>
                <w:i/>
              </w:rPr>
              <w:t xml:space="preserve">General retention and disposal authority: administrative records </w:t>
            </w:r>
            <w:r>
              <w:t>GOVERNMENT RELATIONS - Submissions.</w:t>
            </w:r>
          </w:p>
        </w:tc>
        <w:tc>
          <w:tcPr>
            <w:tcW w:w="1250" w:type="pct"/>
            <w:shd w:val="clear" w:color="auto" w:fill="F2F2F2" w:themeFill="background1" w:themeFillShade="F2"/>
          </w:tcPr>
          <w:p w14:paraId="234A6991" w14:textId="77777777" w:rsidR="008A5010" w:rsidRDefault="008F6A94" w:rsidP="002E636D">
            <w:pPr>
              <w:keepNext w:val="0"/>
              <w:widowControl w:val="0"/>
            </w:pPr>
            <w:r>
              <w:t>Retain until administrative or reference use ceases, then destroy</w:t>
            </w:r>
          </w:p>
        </w:tc>
      </w:tr>
      <w:tr w:rsidR="008A5010" w14:paraId="18DBF66A" w14:textId="77777777" w:rsidTr="002357FA">
        <w:trPr>
          <w:jc w:val="center"/>
        </w:trPr>
        <w:tc>
          <w:tcPr>
            <w:tcW w:w="5000" w:type="pct"/>
            <w:gridSpan w:val="3"/>
            <w:shd w:val="clear" w:color="auto" w:fill="auto"/>
          </w:tcPr>
          <w:p w14:paraId="107DBDF6" w14:textId="3E0BFB69" w:rsidR="008A5010" w:rsidRDefault="007C28D2" w:rsidP="002E636D">
            <w:pPr>
              <w:keepNext w:val="0"/>
              <w:widowControl w:val="0"/>
            </w:pPr>
            <w:r>
              <w:rPr>
                <w:b/>
              </w:rPr>
              <w:t>Basis for determination</w:t>
            </w:r>
          </w:p>
          <w:p w14:paraId="42ED4588" w14:textId="689C0E4B" w:rsidR="008A5010" w:rsidRDefault="00AC350F" w:rsidP="002E636D">
            <w:pPr>
              <w:keepNext w:val="0"/>
              <w:widowControl w:val="0"/>
            </w:pPr>
            <w:sdt>
              <w:sdtPr>
                <w:id w:val="1435086541"/>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8F6A94">
              <w:t xml:space="preserve"> </w:t>
            </w:r>
            <w:r w:rsidR="008F6A94">
              <w:rPr>
                <w:b/>
              </w:rPr>
              <w:t xml:space="preserve">Precedent: </w:t>
            </w:r>
            <w:r w:rsidR="008F6A94">
              <w:t>Confirms Board decision of 20</w:t>
            </w:r>
            <w:r w:rsidR="00F869F2">
              <w:t>11</w:t>
            </w:r>
            <w:r w:rsidR="008F6A94">
              <w:t>.</w:t>
            </w:r>
          </w:p>
          <w:p w14:paraId="56863CFF" w14:textId="6C5FC21E" w:rsidR="00EC001D" w:rsidRDefault="00AC350F" w:rsidP="002E636D">
            <w:pPr>
              <w:keepNext w:val="0"/>
              <w:widowControl w:val="0"/>
              <w:rPr>
                <w:b/>
              </w:rPr>
            </w:pPr>
            <w:sdt>
              <w:sdtPr>
                <w:id w:val="810834510"/>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F869F2">
              <w:t xml:space="preserve"> </w:t>
            </w:r>
            <w:r w:rsidR="008F6A94">
              <w:rPr>
                <w:b/>
              </w:rPr>
              <w:t xml:space="preserve">Benchmark: </w:t>
            </w:r>
          </w:p>
          <w:p w14:paraId="5820C281" w14:textId="72D7A949" w:rsidR="00EC001D" w:rsidRDefault="008F6A94" w:rsidP="002E636D">
            <w:pPr>
              <w:keepNext w:val="0"/>
              <w:widowControl w:val="0"/>
              <w:numPr>
                <w:ilvl w:val="0"/>
                <w:numId w:val="3"/>
              </w:numPr>
            </w:pPr>
            <w:r>
              <w:t>Consistent with Queensland and South Australia</w:t>
            </w:r>
          </w:p>
          <w:p w14:paraId="1339EC87" w14:textId="21ABD540" w:rsidR="00EC001D" w:rsidRDefault="008F6A94" w:rsidP="002E636D">
            <w:pPr>
              <w:keepNext w:val="0"/>
              <w:widowControl w:val="0"/>
              <w:numPr>
                <w:ilvl w:val="0"/>
                <w:numId w:val="3"/>
              </w:numPr>
            </w:pPr>
            <w:r>
              <w:t>Victoria retains duplicate copies of minutes and agendas until action completed.</w:t>
            </w:r>
          </w:p>
          <w:p w14:paraId="0D9D427C" w14:textId="77777777" w:rsidR="00F57794" w:rsidRDefault="008F6A94" w:rsidP="002E636D">
            <w:pPr>
              <w:keepNext w:val="0"/>
              <w:widowControl w:val="0"/>
              <w:numPr>
                <w:ilvl w:val="0"/>
                <w:numId w:val="3"/>
              </w:numPr>
            </w:pPr>
            <w:r>
              <w:t>Tasmania retains for 2 years after action completed.</w:t>
            </w:r>
          </w:p>
          <w:p w14:paraId="1D42DF7C" w14:textId="15D7A9E4" w:rsidR="00F869F2" w:rsidRDefault="00EC001D" w:rsidP="00F57794">
            <w:pPr>
              <w:keepNext w:val="0"/>
              <w:widowControl w:val="0"/>
            </w:pPr>
            <w:r w:rsidRPr="00F57794">
              <w:rPr>
                <w:b/>
              </w:rPr>
              <w:t>Justification/Remarks:</w:t>
            </w:r>
            <w:r>
              <w:t xml:space="preserve"> No change except for removal of requirement </w:t>
            </w:r>
            <w:r w:rsidR="00D327E9">
              <w:t xml:space="preserve">for The Cabinet Office </w:t>
            </w:r>
            <w:r>
              <w:t xml:space="preserve">to confirm that the </w:t>
            </w:r>
            <w:r w:rsidR="00D327E9">
              <w:t xml:space="preserve">Office of the </w:t>
            </w:r>
            <w:r>
              <w:t>Governor’s set of Ex</w:t>
            </w:r>
            <w:r w:rsidR="00D327E9">
              <w:t xml:space="preserve">ecutive Council Minutes </w:t>
            </w:r>
            <w:r>
              <w:t xml:space="preserve">has been transferred </w:t>
            </w:r>
            <w:r w:rsidR="00D327E9">
              <w:t xml:space="preserve">as State archives </w:t>
            </w:r>
            <w:r>
              <w:t xml:space="preserve">before destruction can take place. </w:t>
            </w:r>
          </w:p>
          <w:p w14:paraId="59279CA8" w14:textId="706F53A1" w:rsidR="00EC001D" w:rsidRDefault="00D327E9" w:rsidP="00D327E9">
            <w:pPr>
              <w:keepNext w:val="0"/>
              <w:widowControl w:val="0"/>
              <w:rPr>
                <w:szCs w:val="22"/>
              </w:rPr>
            </w:pPr>
            <w:r>
              <w:rPr>
                <w:szCs w:val="22"/>
              </w:rPr>
              <w:t xml:space="preserve">The Office of the Governor manages the original set of agenda and Executive Council Minutes that are signed by the Governor and has transferred up to 2007 to the State </w:t>
            </w:r>
            <w:r w:rsidR="00175CFD">
              <w:rPr>
                <w:szCs w:val="22"/>
              </w:rPr>
              <w:t>A</w:t>
            </w:r>
            <w:r>
              <w:rPr>
                <w:szCs w:val="22"/>
              </w:rPr>
              <w:t xml:space="preserve">rchives </w:t>
            </w:r>
            <w:r w:rsidR="00175CFD">
              <w:rPr>
                <w:szCs w:val="22"/>
              </w:rPr>
              <w:t>C</w:t>
            </w:r>
            <w:r>
              <w:rPr>
                <w:szCs w:val="22"/>
              </w:rPr>
              <w:t>ollection</w:t>
            </w:r>
            <w:r w:rsidR="00BD63E7">
              <w:rPr>
                <w:szCs w:val="22"/>
              </w:rPr>
              <w:t>.</w:t>
            </w:r>
            <w:r>
              <w:rPr>
                <w:szCs w:val="22"/>
              </w:rPr>
              <w:t xml:space="preserve"> The more recent sets are held securely at Government House. It is not considered necessary for Cabinet to retain copies until they are transferred as State archives as Museums of History </w:t>
            </w:r>
            <w:proofErr w:type="gramStart"/>
            <w:r>
              <w:rPr>
                <w:szCs w:val="22"/>
              </w:rPr>
              <w:t>NSW</w:t>
            </w:r>
            <w:proofErr w:type="gramEnd"/>
            <w:r>
              <w:rPr>
                <w:szCs w:val="22"/>
              </w:rPr>
              <w:t xml:space="preserve"> or the Office of the Governor holds the primary record.</w:t>
            </w:r>
          </w:p>
          <w:p w14:paraId="5B5326B1" w14:textId="77777777" w:rsidR="00060AD9" w:rsidRDefault="00D327E9" w:rsidP="00D327E9">
            <w:pPr>
              <w:keepNext w:val="0"/>
              <w:widowControl w:val="0"/>
            </w:pPr>
            <w:r>
              <w:t>A</w:t>
            </w:r>
            <w:r w:rsidR="00060AD9">
              <w:t xml:space="preserve"> hardcopy </w:t>
            </w:r>
            <w:r>
              <w:t xml:space="preserve">Executive Council Minute is prepared according to a Cabinet template and </w:t>
            </w:r>
            <w:r w:rsidR="00060AD9">
              <w:t>must not exceed one page. It includes the subject, name of the Department, document number, the signature of the relevant Minister and the Governor.</w:t>
            </w:r>
          </w:p>
          <w:p w14:paraId="239150F8" w14:textId="4C8D137B" w:rsidR="00D327E9" w:rsidRDefault="00060AD9" w:rsidP="00D327E9">
            <w:pPr>
              <w:keepNext w:val="0"/>
              <w:widowControl w:val="0"/>
            </w:pPr>
            <w:r>
              <w:t xml:space="preserve">The copy of the Executive Council Minutes and attached business papers are returned to the Department and are required as State archives under the </w:t>
            </w:r>
            <w:r>
              <w:rPr>
                <w:i/>
              </w:rPr>
              <w:t xml:space="preserve">General retention and disposal authority: administrative records </w:t>
            </w:r>
            <w:r>
              <w:t>GOVERNMENT RELATIONS - Submissions.</w:t>
            </w:r>
            <w:r w:rsidR="00BD63E7">
              <w:t xml:space="preserve"> The set maintained by the Departments will include additional records relating to the preparation and implementation of the decisions.</w:t>
            </w:r>
          </w:p>
        </w:tc>
      </w:tr>
      <w:tr w:rsidR="008A5010" w14:paraId="46272FA0" w14:textId="77777777" w:rsidTr="002357FA">
        <w:trPr>
          <w:jc w:val="center"/>
        </w:trPr>
        <w:tc>
          <w:tcPr>
            <w:tcW w:w="547" w:type="pct"/>
            <w:shd w:val="clear" w:color="auto" w:fill="F2F2F2" w:themeFill="background1" w:themeFillShade="F2"/>
          </w:tcPr>
          <w:p w14:paraId="5095E761" w14:textId="0677B759" w:rsidR="008A5010" w:rsidRDefault="008F6A94" w:rsidP="002E636D">
            <w:pPr>
              <w:keepNext w:val="0"/>
              <w:widowControl w:val="0"/>
            </w:pPr>
            <w:r>
              <w:t>2</w:t>
            </w:r>
          </w:p>
          <w:p w14:paraId="21DA4670" w14:textId="77777777" w:rsidR="008A5010" w:rsidRDefault="008F6A94" w:rsidP="002E636D">
            <w:pPr>
              <w:keepNext w:val="0"/>
              <w:widowControl w:val="0"/>
            </w:pPr>
            <w:r>
              <w:rPr>
                <w:rStyle w:val="HiddenChar"/>
              </w:rPr>
              <w:t>CABINET SERVICES</w:t>
            </w:r>
          </w:p>
        </w:tc>
        <w:tc>
          <w:tcPr>
            <w:tcW w:w="3203" w:type="pct"/>
            <w:shd w:val="clear" w:color="auto" w:fill="F2F2F2" w:themeFill="background1" w:themeFillShade="F2"/>
          </w:tcPr>
          <w:p w14:paraId="4DCCF421" w14:textId="77777777" w:rsidR="008A5010" w:rsidRDefault="008F6A94" w:rsidP="002E636D">
            <w:pPr>
              <w:keepNext w:val="0"/>
              <w:widowControl w:val="0"/>
            </w:pPr>
            <w:r>
              <w:t>Key records of Cabinet and Cabinet committees. Includes:</w:t>
            </w:r>
          </w:p>
          <w:p w14:paraId="4ABE6DBB" w14:textId="77777777" w:rsidR="008A5010" w:rsidRDefault="008F6A94" w:rsidP="002E636D">
            <w:pPr>
              <w:keepNext w:val="0"/>
              <w:widowControl w:val="0"/>
              <w:numPr>
                <w:ilvl w:val="0"/>
                <w:numId w:val="1"/>
              </w:numPr>
            </w:pPr>
            <w:r>
              <w:t>Official set of Cabinet and Cabinet committee meeting submissions and papers</w:t>
            </w:r>
          </w:p>
          <w:p w14:paraId="06846D50" w14:textId="77777777" w:rsidR="008A5010" w:rsidRDefault="008F6A94" w:rsidP="002E636D">
            <w:pPr>
              <w:keepNext w:val="0"/>
              <w:widowControl w:val="0"/>
              <w:numPr>
                <w:ilvl w:val="0"/>
                <w:numId w:val="1"/>
              </w:numPr>
            </w:pPr>
            <w:r>
              <w:t>Registers of Cabinet decisions and meeting attendance</w:t>
            </w:r>
          </w:p>
          <w:p w14:paraId="21624964" w14:textId="77777777" w:rsidR="008A5010" w:rsidRDefault="008F6A94" w:rsidP="002E636D">
            <w:pPr>
              <w:keepNext w:val="0"/>
              <w:widowControl w:val="0"/>
              <w:numPr>
                <w:ilvl w:val="0"/>
                <w:numId w:val="1"/>
              </w:numPr>
            </w:pPr>
            <w:r>
              <w:t>Register of Cabinet Submissions including Cabinet Submission Number, subject, matter, minister, meeting date, date received and resolutions</w:t>
            </w:r>
          </w:p>
          <w:p w14:paraId="52A64510" w14:textId="77777777" w:rsidR="008A5010" w:rsidRDefault="008F6A94" w:rsidP="002E636D">
            <w:pPr>
              <w:keepNext w:val="0"/>
              <w:widowControl w:val="0"/>
              <w:numPr>
                <w:ilvl w:val="0"/>
                <w:numId w:val="1"/>
              </w:numPr>
            </w:pPr>
            <w:r>
              <w:lastRenderedPageBreak/>
              <w:t>Cabinet Minutes which have been withdrawn before being considered by Cabinet, including correspondence dealing with the Minutes and their withdrawal and supporting documentation.</w:t>
            </w:r>
          </w:p>
          <w:p w14:paraId="4FB45872" w14:textId="77777777" w:rsidR="008A5010" w:rsidRDefault="008F6A94" w:rsidP="002E636D">
            <w:pPr>
              <w:keepNext w:val="0"/>
              <w:widowControl w:val="0"/>
            </w:pPr>
            <w:r>
              <w:rPr>
                <w:b/>
              </w:rPr>
              <w:t xml:space="preserve">Note: </w:t>
            </w:r>
            <w:r>
              <w:t xml:space="preserve">individual Ministers copies of Cabinet papers can be destroyed under the Normal Administrative Practice provisions of the </w:t>
            </w:r>
            <w:r w:rsidRPr="00BD63E7">
              <w:rPr>
                <w:i/>
                <w:iCs/>
              </w:rPr>
              <w:t>State Records Regulation</w:t>
            </w:r>
            <w:r>
              <w:t xml:space="preserve"> as duplicates.</w:t>
            </w:r>
          </w:p>
        </w:tc>
        <w:tc>
          <w:tcPr>
            <w:tcW w:w="1250" w:type="pct"/>
            <w:shd w:val="clear" w:color="auto" w:fill="F2F2F2" w:themeFill="background1" w:themeFillShade="F2"/>
          </w:tcPr>
          <w:p w14:paraId="54B1DAE4" w14:textId="77777777" w:rsidR="008A5010" w:rsidRDefault="008F6A94" w:rsidP="002E636D">
            <w:pPr>
              <w:keepNext w:val="0"/>
              <w:widowControl w:val="0"/>
            </w:pPr>
            <w:r>
              <w:lastRenderedPageBreak/>
              <w:t>Required as State archives</w:t>
            </w:r>
          </w:p>
        </w:tc>
      </w:tr>
      <w:tr w:rsidR="008A5010" w14:paraId="5D03FC9C" w14:textId="77777777" w:rsidTr="002357FA">
        <w:trPr>
          <w:jc w:val="center"/>
        </w:trPr>
        <w:tc>
          <w:tcPr>
            <w:tcW w:w="5000" w:type="pct"/>
            <w:gridSpan w:val="3"/>
            <w:shd w:val="clear" w:color="auto" w:fill="auto"/>
          </w:tcPr>
          <w:p w14:paraId="685ADBF3" w14:textId="04112FC3" w:rsidR="008A5010" w:rsidRDefault="007C28D2" w:rsidP="002E636D">
            <w:pPr>
              <w:keepNext w:val="0"/>
              <w:widowControl w:val="0"/>
            </w:pPr>
            <w:r>
              <w:rPr>
                <w:b/>
              </w:rPr>
              <w:t>Basis for determination</w:t>
            </w:r>
          </w:p>
          <w:p w14:paraId="00B4D66B" w14:textId="6A72F8CC" w:rsidR="008A5010" w:rsidRDefault="00AC350F" w:rsidP="002E636D">
            <w:pPr>
              <w:keepNext w:val="0"/>
              <w:widowControl w:val="0"/>
            </w:pPr>
            <w:sdt>
              <w:sdtPr>
                <w:id w:val="-834685526"/>
                <w14:checkbox>
                  <w14:checked w14:val="1"/>
                  <w14:checkedState w14:val="2612" w14:font="MS Gothic"/>
                  <w14:uncheckedState w14:val="2610" w14:font="MS Gothic"/>
                </w14:checkbox>
              </w:sdtPr>
              <w:sdtEndPr/>
              <w:sdtContent>
                <w:r w:rsidR="001A7AB3">
                  <w:rPr>
                    <w:rFonts w:ascii="MS Gothic" w:eastAsia="MS Gothic" w:hAnsi="MS Gothic" w:hint="eastAsia"/>
                  </w:rPr>
                  <w:t>☒</w:t>
                </w:r>
              </w:sdtContent>
            </w:sdt>
            <w:r w:rsidR="001A7AB3">
              <w:rPr>
                <w:b/>
              </w:rPr>
              <w:t xml:space="preserve"> </w:t>
            </w:r>
            <w:r w:rsidR="008F6A94">
              <w:rPr>
                <w:b/>
              </w:rPr>
              <w:t xml:space="preserve">Building the archives policy: </w:t>
            </w:r>
            <w:r w:rsidR="008F6A94">
              <w:t>Objective 1. Provides evidence of the deliberations and decisions of the NSW Government</w:t>
            </w:r>
            <w:r w:rsidR="00BD63E7">
              <w:t>.</w:t>
            </w:r>
          </w:p>
          <w:p w14:paraId="349271E2" w14:textId="6F8CDDBB" w:rsidR="008A5010" w:rsidRDefault="00AC350F" w:rsidP="002E636D">
            <w:pPr>
              <w:keepNext w:val="0"/>
              <w:widowControl w:val="0"/>
            </w:pPr>
            <w:sdt>
              <w:sdtPr>
                <w:id w:val="-103346336"/>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F869F2">
              <w:t xml:space="preserve"> </w:t>
            </w:r>
            <w:r w:rsidR="008F6A94">
              <w:rPr>
                <w:b/>
              </w:rPr>
              <w:t xml:space="preserve">Precedent: </w:t>
            </w:r>
            <w:r w:rsidR="008F6A94">
              <w:t>Consistent with Board decision of 2008.</w:t>
            </w:r>
          </w:p>
          <w:p w14:paraId="7127A89E" w14:textId="22ECE24B" w:rsidR="008A5010" w:rsidRDefault="00AC350F" w:rsidP="002E636D">
            <w:pPr>
              <w:keepNext w:val="0"/>
              <w:widowControl w:val="0"/>
            </w:pPr>
            <w:sdt>
              <w:sdtPr>
                <w:id w:val="-897818827"/>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F869F2">
              <w:t xml:space="preserve"> </w:t>
            </w:r>
            <w:r w:rsidR="008F6A94">
              <w:rPr>
                <w:b/>
              </w:rPr>
              <w:t xml:space="preserve">Benchmark: </w:t>
            </w:r>
            <w:r w:rsidR="008F6A94">
              <w:t>Consistent with Victoria, Queensland, South Australia and Victoria.</w:t>
            </w:r>
          </w:p>
          <w:p w14:paraId="197C9F9D" w14:textId="212A6E52" w:rsidR="008A5010" w:rsidRDefault="008F6A94" w:rsidP="00216A3F">
            <w:pPr>
              <w:keepNext w:val="0"/>
              <w:widowControl w:val="0"/>
            </w:pPr>
            <w:r w:rsidRPr="00F869F2">
              <w:rPr>
                <w:b/>
                <w:bCs/>
              </w:rPr>
              <w:t>Justification/remarks:</w:t>
            </w:r>
            <w:r>
              <w:t xml:space="preserve"> N</w:t>
            </w:r>
            <w:r w:rsidR="00216A3F">
              <w:t>o change.</w:t>
            </w:r>
            <w:r>
              <w:t xml:space="preserve"> </w:t>
            </w:r>
            <w:r w:rsidR="00216A3F">
              <w:t>Previously these records were covered in FA254 and have been moved into FA313 to simplify disposal.</w:t>
            </w:r>
          </w:p>
        </w:tc>
      </w:tr>
    </w:tbl>
    <w:p w14:paraId="34B4C4CD" w14:textId="39191060" w:rsidR="008A5010" w:rsidRDefault="008F6A94" w:rsidP="0040337C">
      <w:pPr>
        <w:pStyle w:val="Heading1"/>
        <w:keepNext w:val="0"/>
        <w:pageBreakBefore/>
        <w:widowControl w:val="0"/>
      </w:pPr>
      <w:bookmarkStart w:id="3" w:name="id2945808"/>
      <w:r>
        <w:lastRenderedPageBreak/>
        <w:t xml:space="preserve">COMMUNITY </w:t>
      </w:r>
      <w:r w:rsidR="0040337C">
        <w:t>CABINETS</w:t>
      </w:r>
      <w:bookmarkEnd w:id="3"/>
    </w:p>
    <w:p w14:paraId="03BF224D" w14:textId="77777777" w:rsidR="008A5010" w:rsidRDefault="008A5010" w:rsidP="002E636D">
      <w:pPr>
        <w:keepNext w:val="0"/>
        <w:widowControl w:val="0"/>
        <w:spacing w:before="0"/>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6C591F7D" w14:textId="77777777" w:rsidTr="005B24A7">
        <w:trPr>
          <w:jc w:val="center"/>
        </w:trPr>
        <w:tc>
          <w:tcPr>
            <w:tcW w:w="547" w:type="pct"/>
            <w:shd w:val="clear" w:color="auto" w:fill="F2F2F2" w:themeFill="background1" w:themeFillShade="F2"/>
          </w:tcPr>
          <w:p w14:paraId="56938863" w14:textId="1A6D7AC9" w:rsidR="008A5010" w:rsidRDefault="008F6A94" w:rsidP="002E636D">
            <w:pPr>
              <w:keepNext w:val="0"/>
              <w:widowControl w:val="0"/>
            </w:pPr>
            <w:r>
              <w:t>3</w:t>
            </w:r>
          </w:p>
          <w:p w14:paraId="74E42271" w14:textId="77777777" w:rsidR="008A5010" w:rsidRDefault="008F6A94" w:rsidP="002E636D">
            <w:pPr>
              <w:keepNext w:val="0"/>
              <w:widowControl w:val="0"/>
            </w:pPr>
            <w:r>
              <w:rPr>
                <w:rStyle w:val="HiddenChar"/>
              </w:rPr>
              <w:t>COMMUNITY SUPPORT - Community Cabinets</w:t>
            </w:r>
          </w:p>
        </w:tc>
        <w:tc>
          <w:tcPr>
            <w:tcW w:w="3203" w:type="pct"/>
            <w:shd w:val="clear" w:color="auto" w:fill="F2F2F2" w:themeFill="background1" w:themeFillShade="F2"/>
          </w:tcPr>
          <w:p w14:paraId="6F0A3924" w14:textId="77777777" w:rsidR="008A5010" w:rsidRDefault="008F6A94" w:rsidP="002E636D">
            <w:pPr>
              <w:keepNext w:val="0"/>
              <w:widowControl w:val="0"/>
            </w:pPr>
            <w:r>
              <w:t>Records relating to regional meetings of Cabinet and forums or meetings held as part of regional visits, e.g. correspondence regarding arrangements, invitations and visits to local areas of interest or concern, submissions from local organisations or Local Government, advice from relevant Minister on submissions, local initiatives, records documenting issues raised or matters discussed during meetings, forums and Q&amp;A sessions and briefings and reports relating to the investigation of issues raised.</w:t>
            </w:r>
          </w:p>
        </w:tc>
        <w:tc>
          <w:tcPr>
            <w:tcW w:w="1250" w:type="pct"/>
            <w:shd w:val="clear" w:color="auto" w:fill="F2F2F2" w:themeFill="background1" w:themeFillShade="F2"/>
          </w:tcPr>
          <w:p w14:paraId="763F1016" w14:textId="77777777" w:rsidR="008A5010" w:rsidRDefault="008F6A94" w:rsidP="002E636D">
            <w:pPr>
              <w:keepNext w:val="0"/>
              <w:widowControl w:val="0"/>
            </w:pPr>
            <w:r>
              <w:t>Required as State archives</w:t>
            </w:r>
          </w:p>
        </w:tc>
      </w:tr>
      <w:tr w:rsidR="008A5010" w14:paraId="740C6EBF" w14:textId="77777777" w:rsidTr="005B24A7">
        <w:trPr>
          <w:jc w:val="center"/>
        </w:trPr>
        <w:tc>
          <w:tcPr>
            <w:tcW w:w="5000" w:type="pct"/>
            <w:gridSpan w:val="3"/>
          </w:tcPr>
          <w:p w14:paraId="3219F639" w14:textId="248C981A" w:rsidR="008A5010" w:rsidRDefault="007C28D2" w:rsidP="002E636D">
            <w:pPr>
              <w:keepNext w:val="0"/>
              <w:widowControl w:val="0"/>
            </w:pPr>
            <w:r>
              <w:rPr>
                <w:b/>
              </w:rPr>
              <w:t>Basis for determination</w:t>
            </w:r>
          </w:p>
          <w:p w14:paraId="2907AD45" w14:textId="64E9728B" w:rsidR="008A5010" w:rsidRDefault="00AC350F" w:rsidP="002E636D">
            <w:pPr>
              <w:keepNext w:val="0"/>
              <w:widowControl w:val="0"/>
            </w:pPr>
            <w:sdt>
              <w:sdtPr>
                <w:id w:val="-921720909"/>
                <w14:checkbox>
                  <w14:checked w14:val="1"/>
                  <w14:checkedState w14:val="2612" w14:font="MS Gothic"/>
                  <w14:uncheckedState w14:val="2610" w14:font="MS Gothic"/>
                </w14:checkbox>
              </w:sdtPr>
              <w:sdtEndPr/>
              <w:sdtContent>
                <w:r w:rsidR="001A7AB3">
                  <w:rPr>
                    <w:rFonts w:ascii="MS Gothic" w:eastAsia="MS Gothic" w:hAnsi="MS Gothic" w:hint="eastAsia"/>
                  </w:rPr>
                  <w:t>☒</w:t>
                </w:r>
              </w:sdtContent>
            </w:sdt>
            <w:r w:rsidR="001A7AB3">
              <w:rPr>
                <w:b/>
              </w:rPr>
              <w:t xml:space="preserve"> </w:t>
            </w:r>
            <w:r w:rsidR="008F6A94">
              <w:rPr>
                <w:b/>
              </w:rPr>
              <w:t xml:space="preserve">Building the archives policy: </w:t>
            </w:r>
            <w:r w:rsidR="008F6A94">
              <w:t xml:space="preserve">Objective </w:t>
            </w:r>
            <w:r w:rsidR="00F869F2">
              <w:t>3</w:t>
            </w:r>
            <w:r w:rsidR="008F6A94">
              <w:t>. Records document the nature of people’s interaction with government and its influence on the administration of government.</w:t>
            </w:r>
          </w:p>
          <w:p w14:paraId="268EEB43" w14:textId="24E37740" w:rsidR="008A5010" w:rsidRDefault="00AC350F" w:rsidP="002E636D">
            <w:pPr>
              <w:keepNext w:val="0"/>
              <w:widowControl w:val="0"/>
            </w:pPr>
            <w:sdt>
              <w:sdtPr>
                <w:id w:val="961163210"/>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F869F2">
              <w:t xml:space="preserve"> </w:t>
            </w:r>
            <w:r w:rsidR="008F6A94">
              <w:rPr>
                <w:b/>
              </w:rPr>
              <w:t xml:space="preserve">Precedent: </w:t>
            </w:r>
            <w:r w:rsidR="008F6A94">
              <w:t>Confirms Board decision of 2008 and 2011.</w:t>
            </w:r>
          </w:p>
          <w:p w14:paraId="0C9BDAC9" w14:textId="77777777" w:rsidR="00F869F2" w:rsidRDefault="00AC350F" w:rsidP="002E636D">
            <w:pPr>
              <w:keepNext w:val="0"/>
              <w:widowControl w:val="0"/>
              <w:rPr>
                <w:b/>
              </w:rPr>
            </w:pPr>
            <w:sdt>
              <w:sdtPr>
                <w:id w:val="1572620073"/>
                <w14:checkbox>
                  <w14:checked w14:val="1"/>
                  <w14:checkedState w14:val="2612" w14:font="MS Gothic"/>
                  <w14:uncheckedState w14:val="2610" w14:font="MS Gothic"/>
                </w14:checkbox>
              </w:sdtPr>
              <w:sdtEndPr/>
              <w:sdtContent>
                <w:r w:rsidR="00F869F2">
                  <w:rPr>
                    <w:rFonts w:ascii="MS Gothic" w:eastAsia="MS Gothic" w:hAnsi="MS Gothic" w:hint="eastAsia"/>
                  </w:rPr>
                  <w:t>☒</w:t>
                </w:r>
              </w:sdtContent>
            </w:sdt>
            <w:r w:rsidR="008F6A94">
              <w:t xml:space="preserve"> </w:t>
            </w:r>
            <w:r w:rsidR="008F6A94">
              <w:rPr>
                <w:b/>
              </w:rPr>
              <w:t xml:space="preserve">Benchmark: </w:t>
            </w:r>
          </w:p>
          <w:p w14:paraId="2605885D" w14:textId="77777777" w:rsidR="00F869F2" w:rsidRDefault="008F6A94" w:rsidP="00F869F2">
            <w:pPr>
              <w:pStyle w:val="ListParagraph"/>
              <w:keepNext w:val="0"/>
              <w:widowControl w:val="0"/>
              <w:numPr>
                <w:ilvl w:val="0"/>
                <w:numId w:val="6"/>
              </w:numPr>
            </w:pPr>
            <w:r>
              <w:t>Queensland retains Community Cabinet proceedings as State archives and invitations to submit deputations are retained for 5 years after last action.</w:t>
            </w:r>
          </w:p>
          <w:p w14:paraId="4B076B22" w14:textId="70D13C5C" w:rsidR="008A5010" w:rsidRDefault="008F6A94" w:rsidP="00F869F2">
            <w:pPr>
              <w:pStyle w:val="ListParagraph"/>
              <w:keepNext w:val="0"/>
              <w:widowControl w:val="0"/>
              <w:numPr>
                <w:ilvl w:val="0"/>
                <w:numId w:val="6"/>
              </w:numPr>
            </w:pPr>
            <w:r>
              <w:t>Victoria retains the facilitation of Cabinet meetings held in the community for 7 years after last action.</w:t>
            </w:r>
          </w:p>
          <w:p w14:paraId="53E42FD9" w14:textId="76779900" w:rsidR="00F869F2" w:rsidRDefault="00F869F2" w:rsidP="002E636D">
            <w:pPr>
              <w:keepNext w:val="0"/>
              <w:widowControl w:val="0"/>
            </w:pPr>
            <w:r>
              <w:rPr>
                <w:b/>
              </w:rPr>
              <w:t>Justification/Remarks:</w:t>
            </w:r>
            <w:r>
              <w:t xml:space="preserve"> </w:t>
            </w:r>
            <w:r w:rsidR="0040337C">
              <w:t>No change. Combination of 2 entries from FA313 and FA254 into 1 entry.</w:t>
            </w:r>
          </w:p>
        </w:tc>
      </w:tr>
    </w:tbl>
    <w:p w14:paraId="20BB596F" w14:textId="77777777" w:rsidR="0040337C" w:rsidRDefault="0040337C" w:rsidP="002E636D">
      <w:pPr>
        <w:pStyle w:val="Heading2"/>
        <w:keepNext w:val="0"/>
        <w:widowControl w:val="0"/>
      </w:pPr>
      <w:bookmarkStart w:id="4" w:name="id2944731"/>
    </w:p>
    <w:p w14:paraId="13607BED" w14:textId="5457E43E" w:rsidR="008A5010" w:rsidRDefault="0040337C" w:rsidP="002E636D">
      <w:pPr>
        <w:pStyle w:val="Heading2"/>
        <w:keepNext w:val="0"/>
        <w:widowControl w:val="0"/>
      </w:pPr>
      <w:r>
        <w:br w:type="column"/>
      </w:r>
      <w:r w:rsidR="008F6A94">
        <w:lastRenderedPageBreak/>
        <w:t>G</w:t>
      </w:r>
      <w:r>
        <w:t>RANT ASSISTANCE</w:t>
      </w:r>
      <w:bookmarkEnd w:id="4"/>
    </w:p>
    <w:p w14:paraId="777EEA9E" w14:textId="77777777" w:rsidR="008A5010" w:rsidRDefault="008F6A94" w:rsidP="002E636D">
      <w:pPr>
        <w:keepNext w:val="0"/>
        <w:widowControl w:val="0"/>
      </w:pPr>
      <w:r>
        <w:t>The activities associated with receiving applications for and issuing grant funding to community groups, organisations or individuals.</w:t>
      </w:r>
    </w:p>
    <w:p w14:paraId="5AFBB718" w14:textId="77777777" w:rsidR="008A5010" w:rsidRDefault="008A5010" w:rsidP="002E636D">
      <w:pPr>
        <w:keepNext w:val="0"/>
        <w:widowControl w:val="0"/>
        <w:spacing w:before="0"/>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6988E775" w14:textId="77777777" w:rsidTr="004745B6">
        <w:trPr>
          <w:jc w:val="center"/>
        </w:trPr>
        <w:tc>
          <w:tcPr>
            <w:tcW w:w="547" w:type="pct"/>
            <w:shd w:val="clear" w:color="auto" w:fill="F2F2F2" w:themeFill="background1" w:themeFillShade="F2"/>
          </w:tcPr>
          <w:p w14:paraId="05ABEBC3" w14:textId="58BC796C" w:rsidR="008A5010" w:rsidRDefault="0040337C" w:rsidP="002E636D">
            <w:pPr>
              <w:keepNext w:val="0"/>
              <w:widowControl w:val="0"/>
            </w:pPr>
            <w:r>
              <w:t>4</w:t>
            </w:r>
          </w:p>
          <w:p w14:paraId="2F805BBA" w14:textId="77777777" w:rsidR="008A5010" w:rsidRDefault="008F6A94" w:rsidP="002E636D">
            <w:pPr>
              <w:keepNext w:val="0"/>
              <w:widowControl w:val="0"/>
            </w:pPr>
            <w:r>
              <w:rPr>
                <w:rStyle w:val="HiddenChar"/>
              </w:rPr>
              <w:t>COMMUNITY SUPPORT - Grant assistance</w:t>
            </w:r>
          </w:p>
        </w:tc>
        <w:tc>
          <w:tcPr>
            <w:tcW w:w="3203" w:type="pct"/>
            <w:shd w:val="clear" w:color="auto" w:fill="F2F2F2" w:themeFill="background1" w:themeFillShade="F2"/>
          </w:tcPr>
          <w:p w14:paraId="6A4BB7C6" w14:textId="77777777" w:rsidR="008A5010" w:rsidRDefault="008F6A94" w:rsidP="002E636D">
            <w:pPr>
              <w:keepNext w:val="0"/>
              <w:widowControl w:val="0"/>
            </w:pPr>
            <w:r>
              <w:t>Records of:</w:t>
            </w:r>
          </w:p>
          <w:p w14:paraId="75D61286" w14:textId="77777777" w:rsidR="008A5010" w:rsidRDefault="008F6A94" w:rsidP="002E636D">
            <w:pPr>
              <w:keepNext w:val="0"/>
              <w:widowControl w:val="0"/>
              <w:numPr>
                <w:ilvl w:val="0"/>
                <w:numId w:val="1"/>
              </w:numPr>
            </w:pPr>
            <w:r>
              <w:t>the deliberations and decisions of committees or panels responsible for the assessment of grant or funding applications</w:t>
            </w:r>
          </w:p>
          <w:p w14:paraId="30919897" w14:textId="77777777" w:rsidR="008A5010" w:rsidRDefault="008F6A94" w:rsidP="002E636D">
            <w:pPr>
              <w:keepNext w:val="0"/>
              <w:widowControl w:val="0"/>
              <w:numPr>
                <w:ilvl w:val="0"/>
                <w:numId w:val="1"/>
              </w:numPr>
            </w:pPr>
            <w:r>
              <w:t>submissions to the Premier or responsible delegated officer concerning recommendations for grant or funding approvals</w:t>
            </w:r>
          </w:p>
          <w:p w14:paraId="5C97A0B6" w14:textId="77777777" w:rsidR="008A5010" w:rsidRDefault="008F6A94" w:rsidP="002E636D">
            <w:pPr>
              <w:keepNext w:val="0"/>
              <w:widowControl w:val="0"/>
              <w:numPr>
                <w:ilvl w:val="0"/>
                <w:numId w:val="1"/>
              </w:numPr>
            </w:pPr>
            <w:r>
              <w:t>records documenting the Premier's or delegated officer's approval or variance of these recommendations</w:t>
            </w:r>
          </w:p>
          <w:p w14:paraId="3FFD4760" w14:textId="77777777" w:rsidR="008A5010" w:rsidRDefault="008F6A94" w:rsidP="002E636D">
            <w:pPr>
              <w:keepNext w:val="0"/>
              <w:widowControl w:val="0"/>
              <w:numPr>
                <w:ilvl w:val="0"/>
                <w:numId w:val="1"/>
              </w:numPr>
            </w:pPr>
            <w:r>
              <w:t xml:space="preserve">summary records or registers of grant applications (successful or unsuccessful) </w:t>
            </w:r>
          </w:p>
          <w:p w14:paraId="72A7FEDF" w14:textId="77777777" w:rsidR="008A5010" w:rsidRDefault="008F6A94" w:rsidP="002E636D">
            <w:pPr>
              <w:keepNext w:val="0"/>
              <w:widowControl w:val="0"/>
              <w:numPr>
                <w:ilvl w:val="0"/>
                <w:numId w:val="1"/>
              </w:numPr>
            </w:pPr>
            <w:r>
              <w:t>final reports that detail the outcome of projects.</w:t>
            </w:r>
          </w:p>
        </w:tc>
        <w:tc>
          <w:tcPr>
            <w:tcW w:w="1250" w:type="pct"/>
            <w:shd w:val="clear" w:color="auto" w:fill="F2F2F2" w:themeFill="background1" w:themeFillShade="F2"/>
          </w:tcPr>
          <w:p w14:paraId="31E9986A" w14:textId="77777777" w:rsidR="008A5010" w:rsidRDefault="008F6A94" w:rsidP="002E636D">
            <w:pPr>
              <w:keepNext w:val="0"/>
              <w:widowControl w:val="0"/>
            </w:pPr>
            <w:r>
              <w:t>Required as State archives</w:t>
            </w:r>
          </w:p>
        </w:tc>
      </w:tr>
      <w:tr w:rsidR="008A5010" w14:paraId="2D60937E" w14:textId="77777777" w:rsidTr="004745B6">
        <w:trPr>
          <w:jc w:val="center"/>
        </w:trPr>
        <w:tc>
          <w:tcPr>
            <w:tcW w:w="5000" w:type="pct"/>
            <w:gridSpan w:val="3"/>
            <w:shd w:val="clear" w:color="auto" w:fill="auto"/>
          </w:tcPr>
          <w:p w14:paraId="4424623F" w14:textId="4D51802F" w:rsidR="008A5010" w:rsidRDefault="007C28D2" w:rsidP="002E636D">
            <w:pPr>
              <w:keepNext w:val="0"/>
              <w:widowControl w:val="0"/>
            </w:pPr>
            <w:r>
              <w:rPr>
                <w:b/>
              </w:rPr>
              <w:t>Basis for determination</w:t>
            </w:r>
          </w:p>
          <w:p w14:paraId="42D9F68F" w14:textId="4FA60B65" w:rsidR="008A5010" w:rsidRDefault="00AC350F" w:rsidP="002E636D">
            <w:pPr>
              <w:keepNext w:val="0"/>
              <w:widowControl w:val="0"/>
            </w:pPr>
            <w:sdt>
              <w:sdtPr>
                <w:id w:val="-166172448"/>
                <w14:checkbox>
                  <w14:checked w14:val="1"/>
                  <w14:checkedState w14:val="2612" w14:font="MS Gothic"/>
                  <w14:uncheckedState w14:val="2610" w14:font="MS Gothic"/>
                </w14:checkbox>
              </w:sdtPr>
              <w:sdtEndPr/>
              <w:sdtContent>
                <w:r w:rsidR="001A7AB3">
                  <w:rPr>
                    <w:rFonts w:ascii="MS Gothic" w:eastAsia="MS Gothic" w:hAnsi="MS Gothic" w:hint="eastAsia"/>
                  </w:rPr>
                  <w:t>☒</w:t>
                </w:r>
              </w:sdtContent>
            </w:sdt>
            <w:r w:rsidR="001A7AB3">
              <w:rPr>
                <w:b/>
              </w:rPr>
              <w:t xml:space="preserve"> </w:t>
            </w:r>
            <w:r w:rsidR="008F6A94">
              <w:rPr>
                <w:b/>
              </w:rPr>
              <w:t xml:space="preserve">Building the archives policy: </w:t>
            </w:r>
            <w:r w:rsidR="008F6A94">
              <w:t xml:space="preserve">Objective </w:t>
            </w:r>
            <w:r w:rsidR="002B0258">
              <w:t>3</w:t>
            </w:r>
            <w:r w:rsidR="008F6A94">
              <w:t>. Records document the nature of people’s interaction with government and its influence on the administration of government.</w:t>
            </w:r>
          </w:p>
          <w:p w14:paraId="3ED4A677" w14:textId="6495B482" w:rsidR="008A5010" w:rsidRDefault="00AC350F" w:rsidP="002E636D">
            <w:pPr>
              <w:keepNext w:val="0"/>
              <w:widowControl w:val="0"/>
            </w:pPr>
            <w:sdt>
              <w:sdtPr>
                <w:id w:val="-1218960934"/>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 xml:space="preserve">Precedent: </w:t>
            </w:r>
            <w:r w:rsidR="008F6A94">
              <w:t>Confirms Board decision of 2011</w:t>
            </w:r>
            <w:r w:rsidR="0040337C">
              <w:t xml:space="preserve"> for committee records, submissions to Premier, and records documenting Premier’s approval.</w:t>
            </w:r>
          </w:p>
          <w:p w14:paraId="3486A47D" w14:textId="77A4BC45" w:rsidR="008A5010" w:rsidRDefault="00AC350F" w:rsidP="002E636D">
            <w:pPr>
              <w:keepNext w:val="0"/>
              <w:widowControl w:val="0"/>
            </w:pPr>
            <w:sdt>
              <w:sdtPr>
                <w:id w:val="658421451"/>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 xml:space="preserve">Benchmark: </w:t>
            </w:r>
            <w:r w:rsidR="008F6A94">
              <w:t>Consistent with South Australia</w:t>
            </w:r>
          </w:p>
          <w:p w14:paraId="19D143CD" w14:textId="653581A5" w:rsidR="0040337C" w:rsidRDefault="002B0258" w:rsidP="002E636D">
            <w:pPr>
              <w:keepNext w:val="0"/>
              <w:widowControl w:val="0"/>
            </w:pPr>
            <w:r>
              <w:rPr>
                <w:b/>
              </w:rPr>
              <w:t>Justification/Remarks:</w:t>
            </w:r>
            <w:r>
              <w:t xml:space="preserve"> Previously summary records </w:t>
            </w:r>
            <w:r w:rsidR="0040337C">
              <w:t xml:space="preserve">of unsuccessful and successful grant applications </w:t>
            </w:r>
            <w:r>
              <w:t>were only required as State archives where the information or detail was not otherwise documented in the organisation’s annual report, committee or panel records or ministerial submissions.</w:t>
            </w:r>
          </w:p>
          <w:p w14:paraId="72ABA06D" w14:textId="6F481B54" w:rsidR="002B0258" w:rsidRDefault="002B0258" w:rsidP="002E636D">
            <w:pPr>
              <w:keepNext w:val="0"/>
              <w:widowControl w:val="0"/>
            </w:pPr>
            <w:r>
              <w:t xml:space="preserve">This has been </w:t>
            </w:r>
            <w:r w:rsidR="0040337C">
              <w:t xml:space="preserve">changed so that </w:t>
            </w:r>
            <w:r>
              <w:t xml:space="preserve">summary records </w:t>
            </w:r>
            <w:r w:rsidR="0040337C">
              <w:t xml:space="preserve">of grants </w:t>
            </w:r>
            <w:r>
              <w:t xml:space="preserve">are required as State archives regardless of mentions in annual reports, committee records or panel reports. </w:t>
            </w:r>
            <w:r w:rsidR="0040337C">
              <w:t>Details in annual reports can be minimal and access to information about grants will be facilitated by having the information in one place rather than in committee or panel records.</w:t>
            </w:r>
          </w:p>
          <w:p w14:paraId="7F02E6E3" w14:textId="3CFF2AEC" w:rsidR="007375CF" w:rsidRDefault="002B0258" w:rsidP="00BD63E7">
            <w:pPr>
              <w:keepNext w:val="0"/>
              <w:widowControl w:val="0"/>
            </w:pPr>
            <w:r>
              <w:t>Final reports of the outcomes of projects have been added. These were not previously covered and identified as a gap.</w:t>
            </w:r>
          </w:p>
        </w:tc>
      </w:tr>
      <w:tr w:rsidR="008A5010" w14:paraId="0BBAABBF" w14:textId="77777777" w:rsidTr="004745B6">
        <w:trPr>
          <w:jc w:val="center"/>
        </w:trPr>
        <w:tc>
          <w:tcPr>
            <w:tcW w:w="547" w:type="pct"/>
            <w:shd w:val="clear" w:color="auto" w:fill="F2F2F2" w:themeFill="background1" w:themeFillShade="F2"/>
          </w:tcPr>
          <w:p w14:paraId="1052F5BB" w14:textId="16439550" w:rsidR="008A5010" w:rsidRDefault="0040337C" w:rsidP="002E636D">
            <w:pPr>
              <w:keepNext w:val="0"/>
              <w:widowControl w:val="0"/>
            </w:pPr>
            <w:r>
              <w:t>5</w:t>
            </w:r>
          </w:p>
          <w:p w14:paraId="59A9C7BF" w14:textId="77777777" w:rsidR="008A5010" w:rsidRDefault="008F6A94" w:rsidP="002E636D">
            <w:pPr>
              <w:keepNext w:val="0"/>
              <w:widowControl w:val="0"/>
            </w:pPr>
            <w:r>
              <w:rPr>
                <w:rStyle w:val="HiddenChar"/>
              </w:rPr>
              <w:t>COMMUNITY SUPPORT - Grant assistance</w:t>
            </w:r>
          </w:p>
        </w:tc>
        <w:tc>
          <w:tcPr>
            <w:tcW w:w="3203" w:type="pct"/>
            <w:shd w:val="clear" w:color="auto" w:fill="F2F2F2" w:themeFill="background1" w:themeFillShade="F2"/>
          </w:tcPr>
          <w:p w14:paraId="6160C8CB" w14:textId="77777777" w:rsidR="008A5010" w:rsidRDefault="008F6A94" w:rsidP="002E636D">
            <w:pPr>
              <w:keepNext w:val="0"/>
              <w:widowControl w:val="0"/>
            </w:pPr>
            <w:r>
              <w:t>Records of successful grants to support community projects or services within local communities. This includes records of the grant application and associated records relating to the administration and monitoring of the grant, including correspondence and consultation with and reports, papers or financial statements, etc., submitted by the grant recipient.</w:t>
            </w:r>
          </w:p>
        </w:tc>
        <w:tc>
          <w:tcPr>
            <w:tcW w:w="1250" w:type="pct"/>
            <w:shd w:val="clear" w:color="auto" w:fill="F2F2F2" w:themeFill="background1" w:themeFillShade="F2"/>
          </w:tcPr>
          <w:p w14:paraId="59040EDA" w14:textId="77777777" w:rsidR="008A5010" w:rsidRDefault="008F6A94" w:rsidP="002E636D">
            <w:pPr>
              <w:keepNext w:val="0"/>
              <w:widowControl w:val="0"/>
            </w:pPr>
            <w:r>
              <w:t>Retain minimum of 7 years after all grant conditions are complete, then destroy</w:t>
            </w:r>
          </w:p>
        </w:tc>
      </w:tr>
      <w:tr w:rsidR="008A5010" w14:paraId="4BC91B55" w14:textId="77777777" w:rsidTr="004745B6">
        <w:trPr>
          <w:jc w:val="center"/>
        </w:trPr>
        <w:tc>
          <w:tcPr>
            <w:tcW w:w="5000" w:type="pct"/>
            <w:gridSpan w:val="3"/>
            <w:shd w:val="clear" w:color="auto" w:fill="auto"/>
          </w:tcPr>
          <w:p w14:paraId="135B7D1B" w14:textId="0B441E0E" w:rsidR="008A5010" w:rsidRDefault="007C28D2" w:rsidP="002E636D">
            <w:pPr>
              <w:keepNext w:val="0"/>
              <w:widowControl w:val="0"/>
            </w:pPr>
            <w:r>
              <w:rPr>
                <w:b/>
              </w:rPr>
              <w:t>Basis for determination</w:t>
            </w:r>
          </w:p>
          <w:p w14:paraId="37DB298F" w14:textId="695081FD" w:rsidR="008A5010" w:rsidRDefault="00AC350F" w:rsidP="002E636D">
            <w:pPr>
              <w:keepNext w:val="0"/>
              <w:widowControl w:val="0"/>
            </w:pPr>
            <w:sdt>
              <w:sdtPr>
                <w:id w:val="-1949532616"/>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 xml:space="preserve">Precedent: </w:t>
            </w:r>
            <w:r w:rsidR="008F6A94">
              <w:t>Confirms Board decision of 2011</w:t>
            </w:r>
            <w:r w:rsidR="0040337C">
              <w:t xml:space="preserve"> for grants to support community projects.</w:t>
            </w:r>
          </w:p>
          <w:p w14:paraId="2CF634B5" w14:textId="5DDB358E" w:rsidR="002B0258" w:rsidRDefault="00AC350F" w:rsidP="002E636D">
            <w:pPr>
              <w:keepNext w:val="0"/>
              <w:widowControl w:val="0"/>
              <w:rPr>
                <w:b/>
              </w:rPr>
            </w:pPr>
            <w:sdt>
              <w:sdtPr>
                <w:id w:val="255799476"/>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8F6A94">
              <w:t xml:space="preserve"> </w:t>
            </w:r>
            <w:r w:rsidR="008F6A94">
              <w:rPr>
                <w:b/>
              </w:rPr>
              <w:t xml:space="preserve">Benchmark: </w:t>
            </w:r>
          </w:p>
          <w:p w14:paraId="4FBD84B1" w14:textId="77777777" w:rsidR="002B0258" w:rsidRDefault="008F6A94" w:rsidP="002E636D">
            <w:pPr>
              <w:pStyle w:val="ListParagraph"/>
              <w:keepNext w:val="0"/>
              <w:widowControl w:val="0"/>
              <w:numPr>
                <w:ilvl w:val="0"/>
                <w:numId w:val="7"/>
              </w:numPr>
            </w:pPr>
            <w:r>
              <w:t>Tasmania retains for 7 years after action completed.</w:t>
            </w:r>
          </w:p>
          <w:p w14:paraId="5E79F091" w14:textId="193FE521" w:rsidR="008A5010" w:rsidRDefault="008F6A94" w:rsidP="002E636D">
            <w:pPr>
              <w:pStyle w:val="ListParagraph"/>
              <w:keepNext w:val="0"/>
              <w:widowControl w:val="0"/>
              <w:numPr>
                <w:ilvl w:val="0"/>
                <w:numId w:val="7"/>
              </w:numPr>
            </w:pPr>
            <w:r>
              <w:lastRenderedPageBreak/>
              <w:t xml:space="preserve">South Australia retains </w:t>
            </w:r>
            <w:r w:rsidR="00BD63E7">
              <w:t>f</w:t>
            </w:r>
            <w:r>
              <w:t>or 5 years after action completed or grant acquitted</w:t>
            </w:r>
          </w:p>
          <w:p w14:paraId="645F201F" w14:textId="4415E0FB" w:rsidR="0040337C" w:rsidRDefault="002B0258" w:rsidP="002B0258">
            <w:pPr>
              <w:keepNext w:val="0"/>
              <w:widowControl w:val="0"/>
            </w:pPr>
            <w:r w:rsidRPr="002B0258">
              <w:rPr>
                <w:b/>
              </w:rPr>
              <w:t>Justification/Remarks:</w:t>
            </w:r>
            <w:r>
              <w:t xml:space="preserve"> </w:t>
            </w:r>
            <w:r w:rsidR="0040337C">
              <w:t>Previously successful grant applications for projects or servi</w:t>
            </w:r>
            <w:r w:rsidR="007375CF">
              <w:t>c</w:t>
            </w:r>
            <w:r w:rsidR="0040337C">
              <w:t>es of State or regional significance were required as State archives.</w:t>
            </w:r>
          </w:p>
          <w:p w14:paraId="51FCA82F" w14:textId="398410AC" w:rsidR="002B0258" w:rsidRDefault="007375CF" w:rsidP="002B0258">
            <w:pPr>
              <w:keepNext w:val="0"/>
              <w:widowControl w:val="0"/>
            </w:pPr>
            <w:r>
              <w:t>This has been removed so that all grant applications are retained for 7 years after the project is finalised. Grant applications tend to be operational records and the records of successful grants being retained as State archives under entry 4 (deliberations and decisions of committees or panels, submissions to the Premier, Premier’s approval, summary records of grants, and reports of outcomes) meet State archives needs.</w:t>
            </w:r>
          </w:p>
          <w:p w14:paraId="6DD627FE" w14:textId="721DA55C" w:rsidR="000B73B1" w:rsidRDefault="000B73B1" w:rsidP="002B0258">
            <w:pPr>
              <w:keepNext w:val="0"/>
              <w:widowControl w:val="0"/>
            </w:pPr>
            <w:r>
              <w:t xml:space="preserve">7 years complies with the NSW Government </w:t>
            </w:r>
            <w:r w:rsidRPr="000B73B1">
              <w:rPr>
                <w:i/>
                <w:iCs/>
              </w:rPr>
              <w:t>Grants Administration Guide</w:t>
            </w:r>
            <w:r>
              <w:t>.</w:t>
            </w:r>
          </w:p>
        </w:tc>
      </w:tr>
      <w:tr w:rsidR="008A5010" w14:paraId="2BF5FB52" w14:textId="77777777" w:rsidTr="004745B6">
        <w:trPr>
          <w:jc w:val="center"/>
        </w:trPr>
        <w:tc>
          <w:tcPr>
            <w:tcW w:w="547" w:type="pct"/>
            <w:shd w:val="clear" w:color="auto" w:fill="F2F2F2" w:themeFill="background1" w:themeFillShade="F2"/>
          </w:tcPr>
          <w:p w14:paraId="1ACB21EE" w14:textId="7FD45C5F" w:rsidR="008A5010" w:rsidRDefault="007375CF" w:rsidP="002E636D">
            <w:pPr>
              <w:keepNext w:val="0"/>
              <w:widowControl w:val="0"/>
            </w:pPr>
            <w:r>
              <w:lastRenderedPageBreak/>
              <w:t>6</w:t>
            </w:r>
          </w:p>
          <w:p w14:paraId="7DE16A25" w14:textId="77777777" w:rsidR="008A5010" w:rsidRDefault="008F6A94" w:rsidP="002E636D">
            <w:pPr>
              <w:keepNext w:val="0"/>
              <w:widowControl w:val="0"/>
            </w:pPr>
            <w:r>
              <w:rPr>
                <w:rStyle w:val="HiddenChar"/>
              </w:rPr>
              <w:t>COMMUNITY SUPPORT - Grant assistance</w:t>
            </w:r>
          </w:p>
        </w:tc>
        <w:tc>
          <w:tcPr>
            <w:tcW w:w="3203" w:type="pct"/>
            <w:shd w:val="clear" w:color="auto" w:fill="F2F2F2" w:themeFill="background1" w:themeFillShade="F2"/>
          </w:tcPr>
          <w:p w14:paraId="4BB2009B" w14:textId="77777777" w:rsidR="008A5010" w:rsidRDefault="008F6A94" w:rsidP="002E636D">
            <w:pPr>
              <w:keepNext w:val="0"/>
              <w:widowControl w:val="0"/>
            </w:pPr>
            <w:r>
              <w:t>Records relating to the assessment of grant applications that are unsuccessful.</w:t>
            </w:r>
          </w:p>
        </w:tc>
        <w:tc>
          <w:tcPr>
            <w:tcW w:w="1250" w:type="pct"/>
            <w:shd w:val="clear" w:color="auto" w:fill="F2F2F2" w:themeFill="background1" w:themeFillShade="F2"/>
          </w:tcPr>
          <w:p w14:paraId="06CE1B32" w14:textId="77777777" w:rsidR="008A5010" w:rsidRDefault="008F6A94" w:rsidP="002E636D">
            <w:pPr>
              <w:keepNext w:val="0"/>
              <w:widowControl w:val="0"/>
            </w:pPr>
            <w:r>
              <w:t>Retain minimum of 7 years after action completed, then destroy</w:t>
            </w:r>
          </w:p>
        </w:tc>
      </w:tr>
      <w:tr w:rsidR="008A5010" w14:paraId="6E511563" w14:textId="77777777" w:rsidTr="004745B6">
        <w:trPr>
          <w:jc w:val="center"/>
        </w:trPr>
        <w:tc>
          <w:tcPr>
            <w:tcW w:w="5000" w:type="pct"/>
            <w:gridSpan w:val="3"/>
            <w:shd w:val="clear" w:color="auto" w:fill="auto"/>
          </w:tcPr>
          <w:p w14:paraId="16B74E6F" w14:textId="25CB173A" w:rsidR="008A5010" w:rsidRDefault="007C28D2" w:rsidP="002E636D">
            <w:pPr>
              <w:keepNext w:val="0"/>
              <w:widowControl w:val="0"/>
            </w:pPr>
            <w:r>
              <w:rPr>
                <w:b/>
              </w:rPr>
              <w:t>Basis for determination</w:t>
            </w:r>
          </w:p>
          <w:p w14:paraId="1148C368" w14:textId="38C8369B" w:rsidR="008A5010" w:rsidRDefault="00AC350F" w:rsidP="002E636D">
            <w:pPr>
              <w:keepNext w:val="0"/>
              <w:widowControl w:val="0"/>
            </w:pPr>
            <w:sdt>
              <w:sdtPr>
                <w:id w:val="-1838674234"/>
                <w14:checkbox>
                  <w14:checked w14:val="0"/>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Precedent:</w:t>
            </w:r>
          </w:p>
          <w:p w14:paraId="178683E1" w14:textId="77777777" w:rsidR="002B0258" w:rsidRDefault="00AC350F" w:rsidP="002E636D">
            <w:pPr>
              <w:keepNext w:val="0"/>
              <w:widowControl w:val="0"/>
              <w:rPr>
                <w:b/>
              </w:rPr>
            </w:pPr>
            <w:sdt>
              <w:sdtPr>
                <w:id w:val="1748844955"/>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 xml:space="preserve">Benchmark: </w:t>
            </w:r>
          </w:p>
          <w:p w14:paraId="77CE507E" w14:textId="77777777" w:rsidR="002B0258" w:rsidRDefault="008F6A94" w:rsidP="002B0258">
            <w:pPr>
              <w:pStyle w:val="ListParagraph"/>
              <w:keepNext w:val="0"/>
              <w:widowControl w:val="0"/>
              <w:numPr>
                <w:ilvl w:val="0"/>
                <w:numId w:val="8"/>
              </w:numPr>
            </w:pPr>
            <w:r>
              <w:t>Tasmania retains for 3 years.</w:t>
            </w:r>
          </w:p>
          <w:p w14:paraId="047A6C2D" w14:textId="70EC418E" w:rsidR="008A5010" w:rsidRDefault="008F6A94" w:rsidP="002B0258">
            <w:pPr>
              <w:pStyle w:val="ListParagraph"/>
              <w:keepNext w:val="0"/>
              <w:widowControl w:val="0"/>
              <w:numPr>
                <w:ilvl w:val="0"/>
                <w:numId w:val="8"/>
              </w:numPr>
            </w:pPr>
            <w:r>
              <w:t>South Australia retains for 5 years after action completed</w:t>
            </w:r>
            <w:r w:rsidR="00BD63E7">
              <w:t>.</w:t>
            </w:r>
          </w:p>
          <w:p w14:paraId="2F7D2068" w14:textId="35381740" w:rsidR="002B0258" w:rsidRDefault="002B0258" w:rsidP="002E636D">
            <w:pPr>
              <w:keepNext w:val="0"/>
              <w:widowControl w:val="0"/>
            </w:pPr>
            <w:r>
              <w:rPr>
                <w:b/>
              </w:rPr>
              <w:t>Justification/Remarks:</w:t>
            </w:r>
            <w:r>
              <w:t xml:space="preserve"> Retention period increased from 4 to 7 years to meet audit requirements.</w:t>
            </w:r>
          </w:p>
        </w:tc>
      </w:tr>
    </w:tbl>
    <w:p w14:paraId="25B71CD8" w14:textId="77777777" w:rsidR="005A0367" w:rsidRDefault="005A0367" w:rsidP="002E636D">
      <w:pPr>
        <w:pStyle w:val="Heading2"/>
        <w:keepNext w:val="0"/>
        <w:widowControl w:val="0"/>
      </w:pPr>
      <w:bookmarkStart w:id="5" w:name="id4597632"/>
    </w:p>
    <w:p w14:paraId="1C289066" w14:textId="51C87B16" w:rsidR="008A5010" w:rsidRDefault="005A0367" w:rsidP="002E636D">
      <w:pPr>
        <w:pStyle w:val="Heading2"/>
        <w:keepNext w:val="0"/>
        <w:widowControl w:val="0"/>
      </w:pPr>
      <w:r>
        <w:br w:type="column"/>
      </w:r>
      <w:r w:rsidR="008F6A94">
        <w:lastRenderedPageBreak/>
        <w:t>Representations</w:t>
      </w:r>
      <w:bookmarkEnd w:id="5"/>
    </w:p>
    <w:p w14:paraId="5B384EDA" w14:textId="77777777" w:rsidR="008A5010" w:rsidRDefault="008F6A94" w:rsidP="002E636D">
      <w:pPr>
        <w:keepNext w:val="0"/>
        <w:widowControl w:val="0"/>
      </w:pPr>
      <w:r>
        <w:t>Representations to the Premier by members of the public, individual organisations, other agencies or Members of Parliament on behalf of a constituent seeking formal response.</w:t>
      </w:r>
    </w:p>
    <w:p w14:paraId="1A35EB12" w14:textId="77777777" w:rsidR="008A5010" w:rsidRDefault="008A5010" w:rsidP="002E636D">
      <w:pPr>
        <w:keepNext w:val="0"/>
        <w:widowControl w:val="0"/>
        <w:spacing w:before="0"/>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005342E5" w14:textId="77777777" w:rsidTr="004745B6">
        <w:trPr>
          <w:jc w:val="center"/>
        </w:trPr>
        <w:tc>
          <w:tcPr>
            <w:tcW w:w="547" w:type="pct"/>
            <w:shd w:val="clear" w:color="auto" w:fill="F2F2F2" w:themeFill="background1" w:themeFillShade="F2"/>
          </w:tcPr>
          <w:p w14:paraId="2187DE45" w14:textId="71CA40E8" w:rsidR="008A5010" w:rsidRDefault="008F6A94" w:rsidP="002E636D">
            <w:pPr>
              <w:keepNext w:val="0"/>
              <w:widowControl w:val="0"/>
            </w:pPr>
            <w:r>
              <w:t>7</w:t>
            </w:r>
          </w:p>
          <w:p w14:paraId="7466B08A" w14:textId="77777777" w:rsidR="008A5010" w:rsidRDefault="008F6A94" w:rsidP="002E636D">
            <w:pPr>
              <w:keepNext w:val="0"/>
              <w:widowControl w:val="0"/>
            </w:pPr>
            <w:r>
              <w:rPr>
                <w:rStyle w:val="HiddenChar"/>
              </w:rPr>
              <w:t>COMMUNITY SUPPORT - Representations</w:t>
            </w:r>
          </w:p>
        </w:tc>
        <w:tc>
          <w:tcPr>
            <w:tcW w:w="3203" w:type="pct"/>
            <w:shd w:val="clear" w:color="auto" w:fill="F2F2F2" w:themeFill="background1" w:themeFillShade="F2"/>
          </w:tcPr>
          <w:p w14:paraId="228F962C" w14:textId="77777777" w:rsidR="008A5010" w:rsidRDefault="008F6A94" w:rsidP="002E636D">
            <w:pPr>
              <w:keepNext w:val="0"/>
              <w:widowControl w:val="0"/>
            </w:pPr>
            <w:r>
              <w:t>Records relating to responses to correspondence, petitions, campaigns or continuing issues received by the Premier where a submission has been prepared for the authorisation of a reply by a senior officer of the relevant Department or the Premier/Minister. Records include:</w:t>
            </w:r>
          </w:p>
          <w:p w14:paraId="7980C928" w14:textId="77777777" w:rsidR="008A5010" w:rsidRDefault="008F6A94" w:rsidP="002E636D">
            <w:pPr>
              <w:keepNext w:val="0"/>
              <w:widowControl w:val="0"/>
              <w:numPr>
                <w:ilvl w:val="0"/>
                <w:numId w:val="1"/>
              </w:numPr>
            </w:pPr>
            <w:r>
              <w:t>copies of letters received</w:t>
            </w:r>
          </w:p>
          <w:p w14:paraId="5CB2060E" w14:textId="77777777" w:rsidR="008A5010" w:rsidRDefault="008F6A94" w:rsidP="002E636D">
            <w:pPr>
              <w:keepNext w:val="0"/>
              <w:widowControl w:val="0"/>
              <w:numPr>
                <w:ilvl w:val="0"/>
                <w:numId w:val="1"/>
              </w:numPr>
            </w:pPr>
            <w:r>
              <w:t>draft responses</w:t>
            </w:r>
          </w:p>
          <w:p w14:paraId="349F311C" w14:textId="77777777" w:rsidR="008A5010" w:rsidRDefault="008F6A94" w:rsidP="002E636D">
            <w:pPr>
              <w:keepNext w:val="0"/>
              <w:widowControl w:val="0"/>
              <w:numPr>
                <w:ilvl w:val="0"/>
                <w:numId w:val="1"/>
              </w:numPr>
            </w:pPr>
            <w:r>
              <w:t>minutes providing details</w:t>
            </w:r>
          </w:p>
          <w:p w14:paraId="5A2BD9D5" w14:textId="77777777" w:rsidR="008A5010" w:rsidRDefault="008F6A94" w:rsidP="002E636D">
            <w:pPr>
              <w:keepNext w:val="0"/>
              <w:widowControl w:val="0"/>
              <w:numPr>
                <w:ilvl w:val="0"/>
                <w:numId w:val="1"/>
              </w:numPr>
            </w:pPr>
            <w:r>
              <w:t>requests for changes</w:t>
            </w:r>
          </w:p>
          <w:p w14:paraId="5F50B856" w14:textId="77777777" w:rsidR="008A5010" w:rsidRDefault="008F6A94" w:rsidP="002E636D">
            <w:pPr>
              <w:keepNext w:val="0"/>
              <w:widowControl w:val="0"/>
              <w:numPr>
                <w:ilvl w:val="0"/>
                <w:numId w:val="1"/>
              </w:numPr>
            </w:pPr>
            <w:r>
              <w:t>final responses.</w:t>
            </w:r>
          </w:p>
        </w:tc>
        <w:tc>
          <w:tcPr>
            <w:tcW w:w="1250" w:type="pct"/>
            <w:shd w:val="clear" w:color="auto" w:fill="F2F2F2" w:themeFill="background1" w:themeFillShade="F2"/>
          </w:tcPr>
          <w:p w14:paraId="36BCB407" w14:textId="77777777" w:rsidR="008A5010" w:rsidRDefault="008F6A94" w:rsidP="002E636D">
            <w:pPr>
              <w:keepNext w:val="0"/>
              <w:widowControl w:val="0"/>
            </w:pPr>
            <w:r>
              <w:t>Required as State archives</w:t>
            </w:r>
          </w:p>
        </w:tc>
      </w:tr>
      <w:tr w:rsidR="008A5010" w14:paraId="17002F98" w14:textId="77777777" w:rsidTr="004745B6">
        <w:trPr>
          <w:jc w:val="center"/>
        </w:trPr>
        <w:tc>
          <w:tcPr>
            <w:tcW w:w="5000" w:type="pct"/>
            <w:gridSpan w:val="3"/>
            <w:shd w:val="clear" w:color="auto" w:fill="auto"/>
          </w:tcPr>
          <w:p w14:paraId="1539F035" w14:textId="13D1618F" w:rsidR="008A5010" w:rsidRDefault="007C28D2" w:rsidP="002E636D">
            <w:pPr>
              <w:keepNext w:val="0"/>
              <w:widowControl w:val="0"/>
            </w:pPr>
            <w:r>
              <w:rPr>
                <w:b/>
              </w:rPr>
              <w:t>Basis for determination</w:t>
            </w:r>
          </w:p>
          <w:p w14:paraId="6AC0F0C1" w14:textId="713B8A94" w:rsidR="008A5010" w:rsidRDefault="008F6A94" w:rsidP="002E636D">
            <w:pPr>
              <w:keepNext w:val="0"/>
              <w:widowControl w:val="0"/>
            </w:pPr>
            <w:r>
              <w:rPr>
                <w:b/>
              </w:rPr>
              <w:t xml:space="preserve">Building the archives policy: </w:t>
            </w:r>
            <w:r>
              <w:t xml:space="preserve">Objective </w:t>
            </w:r>
            <w:r w:rsidR="002B0258">
              <w:t>1</w:t>
            </w:r>
            <w:r>
              <w:t>. Records document the nature and impact of government activities on the community.</w:t>
            </w:r>
          </w:p>
          <w:p w14:paraId="06E0F99C" w14:textId="448815A7" w:rsidR="008A5010" w:rsidRDefault="00AC350F" w:rsidP="002E636D">
            <w:pPr>
              <w:keepNext w:val="0"/>
              <w:widowControl w:val="0"/>
            </w:pPr>
            <w:sdt>
              <w:sdtPr>
                <w:id w:val="-304929513"/>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t xml:space="preserve"> </w:t>
            </w:r>
            <w:r w:rsidR="008F6A94">
              <w:rPr>
                <w:b/>
              </w:rPr>
              <w:t xml:space="preserve">Precedent: </w:t>
            </w:r>
            <w:r w:rsidR="008F6A94">
              <w:t>Confirms Board decision of 2008.</w:t>
            </w:r>
          </w:p>
          <w:p w14:paraId="18E6721C" w14:textId="6665D7F1" w:rsidR="008A5010" w:rsidRDefault="00AC350F" w:rsidP="002E636D">
            <w:pPr>
              <w:keepNext w:val="0"/>
              <w:widowControl w:val="0"/>
            </w:pPr>
            <w:sdt>
              <w:sdtPr>
                <w:id w:val="1073081952"/>
                <w14:checkbox>
                  <w14:checked w14:val="1"/>
                  <w14:checkedState w14:val="2612" w14:font="MS Gothic"/>
                  <w14:uncheckedState w14:val="2610" w14:font="MS Gothic"/>
                </w14:checkbox>
              </w:sdtPr>
              <w:sdtEndPr/>
              <w:sdtContent>
                <w:r w:rsidR="005A0367">
                  <w:rPr>
                    <w:rFonts w:ascii="MS Gothic" w:eastAsia="MS Gothic" w:hAnsi="MS Gothic" w:hint="eastAsia"/>
                  </w:rPr>
                  <w:t>☒</w:t>
                </w:r>
              </w:sdtContent>
            </w:sdt>
            <w:r w:rsidR="002B0258">
              <w:rPr>
                <w:b/>
              </w:rPr>
              <w:t xml:space="preserve"> </w:t>
            </w:r>
            <w:r w:rsidR="008F6A94">
              <w:rPr>
                <w:b/>
              </w:rPr>
              <w:t xml:space="preserve">Benchmark: </w:t>
            </w:r>
            <w:r w:rsidR="008F6A94">
              <w:t>Consistent with Queensland.</w:t>
            </w:r>
          </w:p>
          <w:p w14:paraId="7FD48506" w14:textId="43E0BE4D" w:rsidR="002B0258" w:rsidRDefault="002B0258" w:rsidP="005D4B9C">
            <w:pPr>
              <w:keepNext w:val="0"/>
              <w:widowControl w:val="0"/>
            </w:pPr>
            <w:r>
              <w:rPr>
                <w:b/>
              </w:rPr>
              <w:t>Justification/Remarks:</w:t>
            </w:r>
            <w:r>
              <w:t xml:space="preserve"> </w:t>
            </w:r>
            <w:r w:rsidR="005A0367">
              <w:t>No change. Previously these records were covered in FA254 and have been moved into FA313 to simplify disposal.</w:t>
            </w:r>
          </w:p>
        </w:tc>
      </w:tr>
      <w:tr w:rsidR="008A5010" w14:paraId="38AFC5DF" w14:textId="77777777" w:rsidTr="004745B6">
        <w:trPr>
          <w:jc w:val="center"/>
        </w:trPr>
        <w:tc>
          <w:tcPr>
            <w:tcW w:w="547" w:type="pct"/>
            <w:shd w:val="clear" w:color="auto" w:fill="F2F2F2" w:themeFill="background1" w:themeFillShade="F2"/>
          </w:tcPr>
          <w:p w14:paraId="1D04855A" w14:textId="7C6B63D3" w:rsidR="008A5010" w:rsidRDefault="005A0367" w:rsidP="005A0367">
            <w:pPr>
              <w:keepNext w:val="0"/>
              <w:widowControl w:val="0"/>
            </w:pPr>
            <w:r>
              <w:t>8</w:t>
            </w:r>
          </w:p>
        </w:tc>
        <w:tc>
          <w:tcPr>
            <w:tcW w:w="3203" w:type="pct"/>
            <w:shd w:val="clear" w:color="auto" w:fill="F2F2F2" w:themeFill="background1" w:themeFillShade="F2"/>
          </w:tcPr>
          <w:p w14:paraId="517C8F7B" w14:textId="77777777" w:rsidR="008A5010" w:rsidRDefault="008F6A94" w:rsidP="002E636D">
            <w:pPr>
              <w:keepNext w:val="0"/>
              <w:widowControl w:val="0"/>
            </w:pPr>
            <w:r>
              <w:t>Records relating to responses to correspondence, petitions or campaigns received by the Premier where the response is a form letter/template noting the matters raised or that the matter has been referred to the relevant Minister. Records include:</w:t>
            </w:r>
          </w:p>
          <w:p w14:paraId="32994DF5" w14:textId="77777777" w:rsidR="008A5010" w:rsidRDefault="008F6A94" w:rsidP="002E636D">
            <w:pPr>
              <w:keepNext w:val="0"/>
              <w:widowControl w:val="0"/>
              <w:numPr>
                <w:ilvl w:val="0"/>
                <w:numId w:val="1"/>
              </w:numPr>
            </w:pPr>
            <w:r>
              <w:t>copies of letters received</w:t>
            </w:r>
          </w:p>
          <w:p w14:paraId="3E50758A" w14:textId="77777777" w:rsidR="008A5010" w:rsidRDefault="008F6A94" w:rsidP="002E636D">
            <w:pPr>
              <w:keepNext w:val="0"/>
              <w:widowControl w:val="0"/>
              <w:numPr>
                <w:ilvl w:val="0"/>
                <w:numId w:val="1"/>
              </w:numPr>
            </w:pPr>
            <w:r>
              <w:t>draft responses</w:t>
            </w:r>
          </w:p>
          <w:p w14:paraId="2FB9F830" w14:textId="77777777" w:rsidR="008A5010" w:rsidRDefault="008F6A94" w:rsidP="002E636D">
            <w:pPr>
              <w:keepNext w:val="0"/>
              <w:widowControl w:val="0"/>
              <w:numPr>
                <w:ilvl w:val="0"/>
                <w:numId w:val="1"/>
              </w:numPr>
            </w:pPr>
            <w:r>
              <w:t>final responses.</w:t>
            </w:r>
          </w:p>
        </w:tc>
        <w:tc>
          <w:tcPr>
            <w:tcW w:w="1250" w:type="pct"/>
            <w:shd w:val="clear" w:color="auto" w:fill="F2F2F2" w:themeFill="background1" w:themeFillShade="F2"/>
          </w:tcPr>
          <w:p w14:paraId="0C73271A" w14:textId="77777777" w:rsidR="008A5010" w:rsidRDefault="008F6A94" w:rsidP="002E636D">
            <w:pPr>
              <w:keepNext w:val="0"/>
              <w:widowControl w:val="0"/>
            </w:pPr>
            <w:r>
              <w:t>Retain minimum of 5 years after action completed, then destroy</w:t>
            </w:r>
          </w:p>
        </w:tc>
      </w:tr>
      <w:tr w:rsidR="008A5010" w14:paraId="5F7D15F6" w14:textId="77777777" w:rsidTr="004745B6">
        <w:trPr>
          <w:jc w:val="center"/>
        </w:trPr>
        <w:tc>
          <w:tcPr>
            <w:tcW w:w="5000" w:type="pct"/>
            <w:gridSpan w:val="3"/>
            <w:shd w:val="clear" w:color="auto" w:fill="auto"/>
          </w:tcPr>
          <w:p w14:paraId="17B55E55" w14:textId="37FADFB9" w:rsidR="008A5010" w:rsidRDefault="007C28D2" w:rsidP="005A0367">
            <w:pPr>
              <w:keepNext w:val="0"/>
              <w:widowControl w:val="0"/>
            </w:pPr>
            <w:r>
              <w:rPr>
                <w:b/>
              </w:rPr>
              <w:t>Basis for determination</w:t>
            </w:r>
            <w:r w:rsidR="008F6A94">
              <w:t>.</w:t>
            </w:r>
          </w:p>
          <w:p w14:paraId="0341D857" w14:textId="346BF6C5" w:rsidR="008A5010" w:rsidRDefault="00AC350F" w:rsidP="002E636D">
            <w:pPr>
              <w:keepNext w:val="0"/>
              <w:widowControl w:val="0"/>
            </w:pPr>
            <w:sdt>
              <w:sdtPr>
                <w:id w:val="-1914465325"/>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2B0258">
              <w:rPr>
                <w:b/>
              </w:rPr>
              <w:t xml:space="preserve"> </w:t>
            </w:r>
            <w:r w:rsidR="008F6A94">
              <w:rPr>
                <w:b/>
              </w:rPr>
              <w:t xml:space="preserve">Precedent: </w:t>
            </w:r>
            <w:r w:rsidR="008F6A94">
              <w:t>Confirms Board decision of 2008.</w:t>
            </w:r>
          </w:p>
          <w:p w14:paraId="26671FFA" w14:textId="53100AB1" w:rsidR="005A0367" w:rsidRDefault="00AC350F" w:rsidP="002E636D">
            <w:pPr>
              <w:keepNext w:val="0"/>
              <w:widowControl w:val="0"/>
            </w:pPr>
            <w:sdt>
              <w:sdtPr>
                <w:id w:val="-285342957"/>
                <w14:checkbox>
                  <w14:checked w14:val="1"/>
                  <w14:checkedState w14:val="2612" w14:font="MS Gothic"/>
                  <w14:uncheckedState w14:val="2610" w14:font="MS Gothic"/>
                </w14:checkbox>
              </w:sdtPr>
              <w:sdtEndPr/>
              <w:sdtContent>
                <w:r w:rsidR="005A0367">
                  <w:rPr>
                    <w:rFonts w:ascii="MS Gothic" w:eastAsia="MS Gothic" w:hAnsi="MS Gothic" w:hint="eastAsia"/>
                  </w:rPr>
                  <w:t>☒</w:t>
                </w:r>
              </w:sdtContent>
            </w:sdt>
            <w:r w:rsidR="005A0367">
              <w:rPr>
                <w:b/>
              </w:rPr>
              <w:t xml:space="preserve"> Benchmark: </w:t>
            </w:r>
            <w:r w:rsidR="005A0367" w:rsidRPr="005A0367">
              <w:rPr>
                <w:bCs/>
              </w:rPr>
              <w:t>Tasmania retains for 2 years.</w:t>
            </w:r>
            <w:r w:rsidR="005A0367">
              <w:rPr>
                <w:bCs/>
              </w:rPr>
              <w:t xml:space="preserve"> The Office of the Governor of NSW retains similar records until administrative or reference use ceases. </w:t>
            </w:r>
          </w:p>
          <w:p w14:paraId="23F0947C" w14:textId="0D8EAA0E" w:rsidR="002B0258" w:rsidRDefault="002B0258" w:rsidP="00BD63E7">
            <w:pPr>
              <w:keepNext w:val="0"/>
              <w:widowControl w:val="0"/>
            </w:pPr>
            <w:r>
              <w:rPr>
                <w:b/>
              </w:rPr>
              <w:t>Justification/Remarks:</w:t>
            </w:r>
            <w:r>
              <w:t xml:space="preserve"> </w:t>
            </w:r>
            <w:r w:rsidR="005A0367">
              <w:t>No change. Previously these records were covered in FA254 and have been moved into FA313 to simplify disposal.</w:t>
            </w:r>
            <w:r w:rsidR="005D4B9C">
              <w:t xml:space="preserve"> </w:t>
            </w:r>
            <w:r>
              <w:t>The Department receives between 60,000 to 100,000 of these representations every year.</w:t>
            </w:r>
          </w:p>
        </w:tc>
      </w:tr>
    </w:tbl>
    <w:p w14:paraId="5799528B" w14:textId="77777777" w:rsidR="002B0258" w:rsidRDefault="002B0258" w:rsidP="002B0258">
      <w:pPr>
        <w:keepNext w:val="0"/>
        <w:widowControl w:val="0"/>
        <w:rPr>
          <w:i/>
        </w:rPr>
      </w:pPr>
      <w:bookmarkStart w:id="6" w:name="id4596892"/>
    </w:p>
    <w:p w14:paraId="2F8EB8AE" w14:textId="06EF3D91" w:rsidR="008A5010" w:rsidRDefault="008F6A94" w:rsidP="002E636D">
      <w:pPr>
        <w:pStyle w:val="Heading1"/>
        <w:keepNext w:val="0"/>
        <w:pageBreakBefore/>
        <w:widowControl w:val="0"/>
      </w:pPr>
      <w:bookmarkStart w:id="7" w:name="id4596954"/>
      <w:bookmarkEnd w:id="6"/>
      <w:r>
        <w:lastRenderedPageBreak/>
        <w:t>STRATEGIC POLICY AND ADVICE</w:t>
      </w:r>
      <w:bookmarkEnd w:id="7"/>
    </w:p>
    <w:p w14:paraId="114FC8E0" w14:textId="77777777" w:rsidR="008A5010" w:rsidRDefault="008F6A94" w:rsidP="002E636D">
      <w:pPr>
        <w:keepNext w:val="0"/>
        <w:widowControl w:val="0"/>
      </w:pPr>
      <w:r>
        <w:t>The function of providing policy advice to the Premier, Cabinet, Executive, Governing bodies, etc.</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0E7F715E" w14:textId="77777777" w:rsidTr="004745B6">
        <w:trPr>
          <w:jc w:val="center"/>
        </w:trPr>
        <w:tc>
          <w:tcPr>
            <w:tcW w:w="547" w:type="pct"/>
            <w:shd w:val="clear" w:color="auto" w:fill="F2F2F2" w:themeFill="background1" w:themeFillShade="F2"/>
          </w:tcPr>
          <w:p w14:paraId="0CE75122" w14:textId="3E53450B" w:rsidR="008A5010" w:rsidRDefault="005A0367" w:rsidP="002E636D">
            <w:pPr>
              <w:keepNext w:val="0"/>
              <w:widowControl w:val="0"/>
            </w:pPr>
            <w:r>
              <w:t>9</w:t>
            </w:r>
          </w:p>
          <w:p w14:paraId="21204245" w14:textId="77777777" w:rsidR="008A5010" w:rsidRDefault="008F6A94" w:rsidP="002E636D">
            <w:pPr>
              <w:keepNext w:val="0"/>
              <w:widowControl w:val="0"/>
            </w:pPr>
            <w:r>
              <w:rPr>
                <w:rStyle w:val="HiddenChar"/>
              </w:rPr>
              <w:t>STRATEGIC POLICY AND ADVICE - Policy</w:t>
            </w:r>
          </w:p>
        </w:tc>
        <w:tc>
          <w:tcPr>
            <w:tcW w:w="3203" w:type="pct"/>
            <w:shd w:val="clear" w:color="auto" w:fill="F2F2F2" w:themeFill="background1" w:themeFillShade="F2"/>
          </w:tcPr>
          <w:p w14:paraId="6D9B1E64" w14:textId="77777777" w:rsidR="008A5010" w:rsidRDefault="008F6A94" w:rsidP="002E636D">
            <w:pPr>
              <w:keepNext w:val="0"/>
              <w:widowControl w:val="0"/>
            </w:pPr>
            <w:r>
              <w:t>Master set of advice or briefing notes on policy issues prepared for use by the Premier or other Ministers relating to anticipated questions that may be raised in Parliament.</w:t>
            </w:r>
          </w:p>
        </w:tc>
        <w:tc>
          <w:tcPr>
            <w:tcW w:w="1250" w:type="pct"/>
            <w:shd w:val="clear" w:color="auto" w:fill="F2F2F2" w:themeFill="background1" w:themeFillShade="F2"/>
          </w:tcPr>
          <w:p w14:paraId="72E9CD8C" w14:textId="77777777" w:rsidR="008A5010" w:rsidRDefault="008F6A94" w:rsidP="002E636D">
            <w:pPr>
              <w:keepNext w:val="0"/>
              <w:widowControl w:val="0"/>
            </w:pPr>
            <w:r>
              <w:t>Required as State archives</w:t>
            </w:r>
          </w:p>
        </w:tc>
      </w:tr>
      <w:tr w:rsidR="008A5010" w14:paraId="2DB5968E" w14:textId="77777777" w:rsidTr="004745B6">
        <w:trPr>
          <w:jc w:val="center"/>
        </w:trPr>
        <w:tc>
          <w:tcPr>
            <w:tcW w:w="5000" w:type="pct"/>
            <w:gridSpan w:val="3"/>
          </w:tcPr>
          <w:p w14:paraId="4A2CE037" w14:textId="33534A5E" w:rsidR="008A5010" w:rsidRDefault="007C28D2" w:rsidP="002E636D">
            <w:pPr>
              <w:keepNext w:val="0"/>
              <w:widowControl w:val="0"/>
            </w:pPr>
            <w:r>
              <w:rPr>
                <w:b/>
              </w:rPr>
              <w:t>Basis for determination</w:t>
            </w:r>
          </w:p>
          <w:p w14:paraId="36A2793E" w14:textId="000359B0" w:rsidR="008A5010" w:rsidRDefault="00AC350F" w:rsidP="002E636D">
            <w:pPr>
              <w:keepNext w:val="0"/>
              <w:widowControl w:val="0"/>
            </w:pPr>
            <w:sdt>
              <w:sdtPr>
                <w:id w:val="-136812831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008F6A94">
              <w:rPr>
                <w:b/>
              </w:rPr>
              <w:t xml:space="preserve">Building the archives policy: </w:t>
            </w:r>
            <w:r w:rsidR="009567DB" w:rsidRPr="009567DB">
              <w:rPr>
                <w:bCs/>
              </w:rPr>
              <w:t>Objective 1.</w:t>
            </w:r>
            <w:r w:rsidR="009567DB">
              <w:rPr>
                <w:b/>
              </w:rPr>
              <w:t xml:space="preserve"> </w:t>
            </w:r>
            <w:r w:rsidR="008F6A94">
              <w:t>Provides evidence of advice influencing the decisions of the NSW Government.</w:t>
            </w:r>
          </w:p>
          <w:p w14:paraId="12122282" w14:textId="28E11829" w:rsidR="008A5010" w:rsidRDefault="00AC350F" w:rsidP="002E636D">
            <w:pPr>
              <w:keepNext w:val="0"/>
              <w:widowControl w:val="0"/>
            </w:pPr>
            <w:sdt>
              <w:sdtPr>
                <w:id w:val="794872478"/>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8F6A94">
              <w:t xml:space="preserve"> </w:t>
            </w:r>
            <w:r w:rsidR="008F6A94">
              <w:rPr>
                <w:b/>
              </w:rPr>
              <w:t xml:space="preserve">Precedent: </w:t>
            </w:r>
            <w:r w:rsidR="008F6A94">
              <w:t>Confirms Board decision of 2008</w:t>
            </w:r>
            <w:r w:rsidR="005D4B9C">
              <w:t>.</w:t>
            </w:r>
          </w:p>
          <w:p w14:paraId="351B4330" w14:textId="67F0FEF3" w:rsidR="008A5010" w:rsidRDefault="00AC350F" w:rsidP="002E636D">
            <w:pPr>
              <w:keepNext w:val="0"/>
              <w:widowControl w:val="0"/>
            </w:pPr>
            <w:sdt>
              <w:sdtPr>
                <w:id w:val="-627012924"/>
                <w14:checkbox>
                  <w14:checked w14:val="1"/>
                  <w14:checkedState w14:val="2612" w14:font="MS Gothic"/>
                  <w14:uncheckedState w14:val="2610" w14:font="MS Gothic"/>
                </w14:checkbox>
              </w:sdtPr>
              <w:sdtEndPr/>
              <w:sdtContent>
                <w:r w:rsidR="002B0258">
                  <w:rPr>
                    <w:rFonts w:ascii="MS Gothic" w:eastAsia="MS Gothic" w:hAnsi="MS Gothic" w:hint="eastAsia"/>
                  </w:rPr>
                  <w:t>☒</w:t>
                </w:r>
              </w:sdtContent>
            </w:sdt>
            <w:r w:rsidR="008F6A94">
              <w:t xml:space="preserve"> </w:t>
            </w:r>
            <w:r w:rsidR="008F6A94">
              <w:rPr>
                <w:b/>
              </w:rPr>
              <w:t xml:space="preserve">Benchmark: </w:t>
            </w:r>
            <w:r w:rsidR="008F6A94">
              <w:t>Consistent with Queensland, Victoria, South Australia and Tasmania.</w:t>
            </w:r>
          </w:p>
          <w:p w14:paraId="5CC286AE" w14:textId="1DC9B31B" w:rsidR="002B0258" w:rsidRDefault="002B0258" w:rsidP="00BD63E7">
            <w:pPr>
              <w:keepNext w:val="0"/>
              <w:widowControl w:val="0"/>
            </w:pPr>
            <w:r>
              <w:rPr>
                <w:b/>
              </w:rPr>
              <w:t>Justification/Remarks:</w:t>
            </w:r>
            <w:r>
              <w:t xml:space="preserve"> </w:t>
            </w:r>
            <w:r w:rsidR="005A0367">
              <w:t>No change.</w:t>
            </w:r>
            <w:r w:rsidR="00BD63E7">
              <w:t xml:space="preserve"> </w:t>
            </w:r>
            <w:r w:rsidR="005A0367">
              <w:t>Previously these records were covered in FA254 and have been moved into FA313 to simplify disposal.</w:t>
            </w:r>
          </w:p>
        </w:tc>
      </w:tr>
      <w:tr w:rsidR="008A5010" w14:paraId="40340326" w14:textId="77777777" w:rsidTr="004745B6">
        <w:trPr>
          <w:jc w:val="center"/>
        </w:trPr>
        <w:tc>
          <w:tcPr>
            <w:tcW w:w="547" w:type="pct"/>
            <w:shd w:val="clear" w:color="auto" w:fill="F2F2F2" w:themeFill="background1" w:themeFillShade="F2"/>
          </w:tcPr>
          <w:p w14:paraId="416DB33F" w14:textId="2BD3D424" w:rsidR="008A5010" w:rsidRDefault="008F6A94" w:rsidP="002E636D">
            <w:pPr>
              <w:keepNext w:val="0"/>
              <w:widowControl w:val="0"/>
            </w:pPr>
            <w:r>
              <w:t>10</w:t>
            </w:r>
          </w:p>
          <w:p w14:paraId="28826116" w14:textId="77777777" w:rsidR="008A5010" w:rsidRDefault="008F6A94" w:rsidP="002E636D">
            <w:pPr>
              <w:keepNext w:val="0"/>
              <w:widowControl w:val="0"/>
            </w:pPr>
            <w:r>
              <w:rPr>
                <w:rStyle w:val="HiddenChar"/>
              </w:rPr>
              <w:t>STRATEGIC POLICY AND ADVICE - Submissions</w:t>
            </w:r>
          </w:p>
        </w:tc>
        <w:tc>
          <w:tcPr>
            <w:tcW w:w="3203" w:type="pct"/>
            <w:shd w:val="clear" w:color="auto" w:fill="F2F2F2" w:themeFill="background1" w:themeFillShade="F2"/>
          </w:tcPr>
          <w:p w14:paraId="2CD363BB" w14:textId="77777777" w:rsidR="008A5010" w:rsidRDefault="008F6A94" w:rsidP="002E636D">
            <w:pPr>
              <w:keepNext w:val="0"/>
              <w:widowControl w:val="0"/>
            </w:pPr>
            <w:r>
              <w:t>Records relating to submissions made to the Premier and/or senior departmental staff regarding legislative and major policy matters. Records include:</w:t>
            </w:r>
          </w:p>
          <w:p w14:paraId="44A5D580" w14:textId="77777777" w:rsidR="008A5010" w:rsidRDefault="008F6A94" w:rsidP="002E636D">
            <w:pPr>
              <w:keepNext w:val="0"/>
              <w:widowControl w:val="0"/>
              <w:numPr>
                <w:ilvl w:val="0"/>
                <w:numId w:val="1"/>
              </w:numPr>
            </w:pPr>
            <w:r>
              <w:t>reports</w:t>
            </w:r>
          </w:p>
          <w:p w14:paraId="28FC5DCD" w14:textId="77777777" w:rsidR="008A5010" w:rsidRDefault="008F6A94" w:rsidP="002E636D">
            <w:pPr>
              <w:keepNext w:val="0"/>
              <w:widowControl w:val="0"/>
              <w:numPr>
                <w:ilvl w:val="0"/>
                <w:numId w:val="1"/>
              </w:numPr>
            </w:pPr>
            <w:r>
              <w:t>background research and briefing papers</w:t>
            </w:r>
          </w:p>
          <w:p w14:paraId="74A75431" w14:textId="77777777" w:rsidR="008A5010" w:rsidRDefault="008F6A94" w:rsidP="002E636D">
            <w:pPr>
              <w:keepNext w:val="0"/>
              <w:widowControl w:val="0"/>
              <w:numPr>
                <w:ilvl w:val="0"/>
                <w:numId w:val="1"/>
              </w:numPr>
            </w:pPr>
            <w:r>
              <w:t>Ministerial advice memoranda.</w:t>
            </w:r>
          </w:p>
        </w:tc>
        <w:tc>
          <w:tcPr>
            <w:tcW w:w="1250" w:type="pct"/>
            <w:shd w:val="clear" w:color="auto" w:fill="F2F2F2" w:themeFill="background1" w:themeFillShade="F2"/>
          </w:tcPr>
          <w:p w14:paraId="5255CA05" w14:textId="77777777" w:rsidR="008A5010" w:rsidRDefault="008F6A94" w:rsidP="002E636D">
            <w:pPr>
              <w:keepNext w:val="0"/>
              <w:widowControl w:val="0"/>
            </w:pPr>
            <w:r>
              <w:t>Required as State archives</w:t>
            </w:r>
          </w:p>
        </w:tc>
      </w:tr>
      <w:tr w:rsidR="008A5010" w14:paraId="766D722D" w14:textId="77777777" w:rsidTr="004745B6">
        <w:trPr>
          <w:jc w:val="center"/>
        </w:trPr>
        <w:tc>
          <w:tcPr>
            <w:tcW w:w="5000" w:type="pct"/>
            <w:gridSpan w:val="3"/>
          </w:tcPr>
          <w:p w14:paraId="2669A0C6" w14:textId="70B98865" w:rsidR="008A5010" w:rsidRDefault="007C28D2" w:rsidP="002E636D">
            <w:pPr>
              <w:keepNext w:val="0"/>
              <w:widowControl w:val="0"/>
            </w:pPr>
            <w:r>
              <w:rPr>
                <w:b/>
              </w:rPr>
              <w:t>Basis for determination</w:t>
            </w:r>
          </w:p>
          <w:p w14:paraId="3D4988D9" w14:textId="035D7B00" w:rsidR="008A5010" w:rsidRDefault="00AC350F" w:rsidP="002E636D">
            <w:pPr>
              <w:keepNext w:val="0"/>
              <w:widowControl w:val="0"/>
            </w:pPr>
            <w:sdt>
              <w:sdtPr>
                <w:id w:val="92538769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008F6A94">
              <w:rPr>
                <w:b/>
              </w:rPr>
              <w:t xml:space="preserve">Building the archives policy: </w:t>
            </w:r>
            <w:r w:rsidR="009567DB" w:rsidRPr="009567DB">
              <w:rPr>
                <w:bCs/>
              </w:rPr>
              <w:t>Objective 1.</w:t>
            </w:r>
            <w:r w:rsidR="009567DB">
              <w:rPr>
                <w:b/>
              </w:rPr>
              <w:t xml:space="preserve"> </w:t>
            </w:r>
            <w:r w:rsidR="008F6A94">
              <w:t>Provides evidence of advice influencing the decisions of the NSW Government.</w:t>
            </w:r>
          </w:p>
          <w:p w14:paraId="4913BA28" w14:textId="093EDC71" w:rsidR="008A5010" w:rsidRDefault="00AC350F" w:rsidP="002E636D">
            <w:pPr>
              <w:keepNext w:val="0"/>
              <w:widowControl w:val="0"/>
            </w:pPr>
            <w:sdt>
              <w:sdtPr>
                <w:id w:val="1416134701"/>
                <w14:checkbox>
                  <w14:checked w14:val="1"/>
                  <w14:checkedState w14:val="2612" w14:font="MS Gothic"/>
                  <w14:uncheckedState w14:val="2610" w14:font="MS Gothic"/>
                </w14:checkbox>
              </w:sdtPr>
              <w:sdtEndPr/>
              <w:sdtContent>
                <w:r w:rsidR="009567DB">
                  <w:rPr>
                    <w:rFonts w:ascii="MS Gothic" w:eastAsia="MS Gothic" w:hAnsi="MS Gothic" w:hint="eastAsia"/>
                  </w:rPr>
                  <w:t>☒</w:t>
                </w:r>
              </w:sdtContent>
            </w:sdt>
            <w:r w:rsidR="009567DB">
              <w:rPr>
                <w:b/>
              </w:rPr>
              <w:t xml:space="preserve"> </w:t>
            </w:r>
            <w:r w:rsidR="008F6A94">
              <w:rPr>
                <w:b/>
              </w:rPr>
              <w:t xml:space="preserve">Precedent: </w:t>
            </w:r>
            <w:r w:rsidR="008F6A94">
              <w:t xml:space="preserve">Confirms Board decision of 2008. </w:t>
            </w:r>
          </w:p>
          <w:p w14:paraId="73FB6674" w14:textId="1FD98C20" w:rsidR="002E636D" w:rsidRDefault="00AC350F" w:rsidP="002E636D">
            <w:pPr>
              <w:keepNext w:val="0"/>
              <w:widowControl w:val="0"/>
              <w:rPr>
                <w:b/>
              </w:rPr>
            </w:pPr>
            <w:sdt>
              <w:sdtPr>
                <w:id w:val="-1092092719"/>
                <w14:checkbox>
                  <w14:checked w14:val="1"/>
                  <w14:checkedState w14:val="2612" w14:font="MS Gothic"/>
                  <w14:uncheckedState w14:val="2610" w14:font="MS Gothic"/>
                </w14:checkbox>
              </w:sdtPr>
              <w:sdtEndPr/>
              <w:sdtContent>
                <w:r w:rsidR="009567DB">
                  <w:rPr>
                    <w:rFonts w:ascii="MS Gothic" w:eastAsia="MS Gothic" w:hAnsi="MS Gothic" w:hint="eastAsia"/>
                  </w:rPr>
                  <w:t>☒</w:t>
                </w:r>
              </w:sdtContent>
            </w:sdt>
            <w:r w:rsidR="009567DB">
              <w:rPr>
                <w:b/>
              </w:rPr>
              <w:t xml:space="preserve"> </w:t>
            </w:r>
            <w:r w:rsidR="008F6A94">
              <w:rPr>
                <w:b/>
              </w:rPr>
              <w:t xml:space="preserve">Benchmark: </w:t>
            </w:r>
          </w:p>
          <w:p w14:paraId="19B9321F" w14:textId="4CDAC34D" w:rsidR="002E636D" w:rsidRDefault="002E636D" w:rsidP="002E636D">
            <w:pPr>
              <w:pStyle w:val="ListParagraph"/>
              <w:keepNext w:val="0"/>
              <w:widowControl w:val="0"/>
              <w:numPr>
                <w:ilvl w:val="0"/>
                <w:numId w:val="5"/>
              </w:numPr>
            </w:pPr>
            <w:r>
              <w:t>Consistent</w:t>
            </w:r>
            <w:r w:rsidR="008F6A94">
              <w:t xml:space="preserve"> with Tasmania for submissions of </w:t>
            </w:r>
            <w:r>
              <w:t>significant</w:t>
            </w:r>
            <w:r w:rsidR="008F6A94">
              <w:t xml:space="preserve"> or controversial issues.</w:t>
            </w:r>
          </w:p>
          <w:p w14:paraId="1E124BFF" w14:textId="77777777" w:rsidR="008A5010" w:rsidRDefault="002E636D" w:rsidP="002E636D">
            <w:pPr>
              <w:pStyle w:val="ListParagraph"/>
              <w:keepNext w:val="0"/>
              <w:widowControl w:val="0"/>
              <w:numPr>
                <w:ilvl w:val="0"/>
                <w:numId w:val="5"/>
              </w:numPr>
            </w:pPr>
            <w:r>
              <w:t>Consistent</w:t>
            </w:r>
            <w:r w:rsidR="008F6A94">
              <w:t xml:space="preserve"> with Victoria.</w:t>
            </w:r>
          </w:p>
          <w:p w14:paraId="14D97BC2" w14:textId="5DE8D352" w:rsidR="002E636D" w:rsidRDefault="002E636D" w:rsidP="00BD63E7">
            <w:pPr>
              <w:keepNext w:val="0"/>
              <w:widowControl w:val="0"/>
            </w:pPr>
            <w:r w:rsidRPr="002E636D">
              <w:rPr>
                <w:b/>
              </w:rPr>
              <w:t>Justification/Remarks:</w:t>
            </w:r>
            <w:r>
              <w:t xml:space="preserve"> </w:t>
            </w:r>
            <w:r w:rsidR="005D4B9C">
              <w:t>No change.</w:t>
            </w:r>
            <w:r w:rsidR="00BD63E7">
              <w:t xml:space="preserve"> </w:t>
            </w:r>
            <w:r w:rsidR="005D4B9C">
              <w:t>Previously these records were covered in FA254 and have been moved into FA313 to simplify disposal.</w:t>
            </w:r>
          </w:p>
        </w:tc>
      </w:tr>
      <w:tr w:rsidR="008A5010" w14:paraId="272F2219" w14:textId="77777777" w:rsidTr="004745B6">
        <w:trPr>
          <w:jc w:val="center"/>
        </w:trPr>
        <w:tc>
          <w:tcPr>
            <w:tcW w:w="547" w:type="pct"/>
            <w:shd w:val="clear" w:color="auto" w:fill="F2F2F2" w:themeFill="background1" w:themeFillShade="F2"/>
          </w:tcPr>
          <w:p w14:paraId="04C66CBD" w14:textId="70C2124F" w:rsidR="008A5010" w:rsidRDefault="008F6A94" w:rsidP="002E636D">
            <w:pPr>
              <w:keepNext w:val="0"/>
              <w:widowControl w:val="0"/>
            </w:pPr>
            <w:r>
              <w:t>1</w:t>
            </w:r>
            <w:r w:rsidR="005D4B9C">
              <w:t>1</w:t>
            </w:r>
          </w:p>
          <w:p w14:paraId="4B463F23" w14:textId="77777777" w:rsidR="008A5010" w:rsidRDefault="008F6A94" w:rsidP="002E636D">
            <w:pPr>
              <w:keepNext w:val="0"/>
              <w:widowControl w:val="0"/>
            </w:pPr>
            <w:r>
              <w:rPr>
                <w:rStyle w:val="HiddenChar"/>
              </w:rPr>
              <w:t>STRATEGIC POLICY AND ADVICE - Submissions</w:t>
            </w:r>
          </w:p>
        </w:tc>
        <w:tc>
          <w:tcPr>
            <w:tcW w:w="3203" w:type="pct"/>
            <w:shd w:val="clear" w:color="auto" w:fill="F2F2F2" w:themeFill="background1" w:themeFillShade="F2"/>
          </w:tcPr>
          <w:p w14:paraId="60F10F8F" w14:textId="77777777" w:rsidR="008A5010" w:rsidRDefault="008F6A94" w:rsidP="002E636D">
            <w:pPr>
              <w:keepNext w:val="0"/>
              <w:widowControl w:val="0"/>
            </w:pPr>
            <w:r>
              <w:t>Records relating to submissions made to the Premier and/or senior department staff regarding non-legislative or routine matters.</w:t>
            </w:r>
          </w:p>
          <w:p w14:paraId="1AEEC5BB" w14:textId="77777777" w:rsidR="008A5010" w:rsidRDefault="008F6A94" w:rsidP="002E636D">
            <w:pPr>
              <w:keepNext w:val="0"/>
              <w:widowControl w:val="0"/>
            </w:pPr>
            <w:r>
              <w:t>Examples of these are: daily analyses of the press to identify matters that may be of interest to the Premier; collation of information about individuals or organisations that the Premier is meeting, or conferences that the Premier is attending. Records include:</w:t>
            </w:r>
          </w:p>
          <w:p w14:paraId="5524562C" w14:textId="77777777" w:rsidR="008A5010" w:rsidRDefault="008F6A94" w:rsidP="002E636D">
            <w:pPr>
              <w:keepNext w:val="0"/>
              <w:widowControl w:val="0"/>
              <w:numPr>
                <w:ilvl w:val="0"/>
                <w:numId w:val="1"/>
              </w:numPr>
            </w:pPr>
            <w:r>
              <w:t>reports</w:t>
            </w:r>
          </w:p>
          <w:p w14:paraId="6E0ABB82" w14:textId="77777777" w:rsidR="008A5010" w:rsidRDefault="008F6A94" w:rsidP="002E636D">
            <w:pPr>
              <w:keepNext w:val="0"/>
              <w:widowControl w:val="0"/>
              <w:numPr>
                <w:ilvl w:val="0"/>
                <w:numId w:val="1"/>
              </w:numPr>
            </w:pPr>
            <w:r>
              <w:t>background research and briefing papers</w:t>
            </w:r>
          </w:p>
          <w:p w14:paraId="2CC86F27" w14:textId="77777777" w:rsidR="008A5010" w:rsidRDefault="008F6A94" w:rsidP="002E636D">
            <w:pPr>
              <w:keepNext w:val="0"/>
              <w:widowControl w:val="0"/>
              <w:numPr>
                <w:ilvl w:val="0"/>
                <w:numId w:val="1"/>
              </w:numPr>
            </w:pPr>
            <w:r>
              <w:t>Ministerial advice memoranda.</w:t>
            </w:r>
          </w:p>
        </w:tc>
        <w:tc>
          <w:tcPr>
            <w:tcW w:w="1250" w:type="pct"/>
            <w:shd w:val="clear" w:color="auto" w:fill="F2F2F2" w:themeFill="background1" w:themeFillShade="F2"/>
          </w:tcPr>
          <w:p w14:paraId="205CE7A3" w14:textId="77777777" w:rsidR="008A5010" w:rsidRDefault="008F6A94" w:rsidP="002E636D">
            <w:pPr>
              <w:keepNext w:val="0"/>
              <w:widowControl w:val="0"/>
            </w:pPr>
            <w:r>
              <w:t>Retain minimum of 5 years after action completed, then destroy</w:t>
            </w:r>
          </w:p>
        </w:tc>
      </w:tr>
      <w:tr w:rsidR="008A5010" w14:paraId="2FEC9C88" w14:textId="77777777" w:rsidTr="004745B6">
        <w:trPr>
          <w:jc w:val="center"/>
        </w:trPr>
        <w:tc>
          <w:tcPr>
            <w:tcW w:w="5000" w:type="pct"/>
            <w:gridSpan w:val="3"/>
          </w:tcPr>
          <w:p w14:paraId="563BD04E" w14:textId="7133081A" w:rsidR="008A5010" w:rsidRDefault="007C28D2" w:rsidP="002E636D">
            <w:pPr>
              <w:keepNext w:val="0"/>
              <w:widowControl w:val="0"/>
            </w:pPr>
            <w:r>
              <w:rPr>
                <w:b/>
              </w:rPr>
              <w:t>Basis for determination</w:t>
            </w:r>
          </w:p>
          <w:p w14:paraId="4FB31527" w14:textId="35B366AE" w:rsidR="008A5010" w:rsidRDefault="00AC350F" w:rsidP="002E636D">
            <w:pPr>
              <w:keepNext w:val="0"/>
              <w:widowControl w:val="0"/>
            </w:pPr>
            <w:sdt>
              <w:sdtPr>
                <w:id w:val="909198505"/>
                <w14:checkbox>
                  <w14:checked w14:val="1"/>
                  <w14:checkedState w14:val="2612" w14:font="MS Gothic"/>
                  <w14:uncheckedState w14:val="2610" w14:font="MS Gothic"/>
                </w14:checkbox>
              </w:sdtPr>
              <w:sdtEndPr/>
              <w:sdtContent>
                <w:r w:rsidR="009567DB">
                  <w:rPr>
                    <w:rFonts w:ascii="MS Gothic" w:eastAsia="MS Gothic" w:hAnsi="MS Gothic" w:hint="eastAsia"/>
                  </w:rPr>
                  <w:t>☒</w:t>
                </w:r>
              </w:sdtContent>
            </w:sdt>
            <w:r w:rsidR="009567DB">
              <w:rPr>
                <w:b/>
              </w:rPr>
              <w:t xml:space="preserve"> </w:t>
            </w:r>
            <w:r w:rsidR="008F6A94">
              <w:rPr>
                <w:b/>
              </w:rPr>
              <w:t xml:space="preserve">Precedent: </w:t>
            </w:r>
            <w:r w:rsidR="008F6A94">
              <w:t>Confirms Board decision of 2008.</w:t>
            </w:r>
          </w:p>
          <w:p w14:paraId="45349B3F" w14:textId="77777777" w:rsidR="009567DB" w:rsidRDefault="00AC350F" w:rsidP="002E636D">
            <w:pPr>
              <w:keepNext w:val="0"/>
              <w:widowControl w:val="0"/>
              <w:rPr>
                <w:b/>
              </w:rPr>
            </w:pPr>
            <w:sdt>
              <w:sdtPr>
                <w:id w:val="1827008453"/>
                <w14:checkbox>
                  <w14:checked w14:val="1"/>
                  <w14:checkedState w14:val="2612" w14:font="MS Gothic"/>
                  <w14:uncheckedState w14:val="2610" w14:font="MS Gothic"/>
                </w14:checkbox>
              </w:sdtPr>
              <w:sdtEndPr/>
              <w:sdtContent>
                <w:r w:rsidR="009567DB">
                  <w:rPr>
                    <w:rFonts w:ascii="MS Gothic" w:eastAsia="MS Gothic" w:hAnsi="MS Gothic" w:hint="eastAsia"/>
                  </w:rPr>
                  <w:t>☒</w:t>
                </w:r>
              </w:sdtContent>
            </w:sdt>
            <w:r w:rsidR="009567DB">
              <w:rPr>
                <w:b/>
              </w:rPr>
              <w:t xml:space="preserve"> </w:t>
            </w:r>
            <w:r w:rsidR="008F6A94">
              <w:rPr>
                <w:b/>
              </w:rPr>
              <w:t xml:space="preserve">Benchmark: </w:t>
            </w:r>
          </w:p>
          <w:p w14:paraId="232AB827" w14:textId="03072C21" w:rsidR="002E636D" w:rsidRDefault="008F6A94" w:rsidP="009567DB">
            <w:pPr>
              <w:pStyle w:val="ListParagraph"/>
              <w:keepNext w:val="0"/>
              <w:widowControl w:val="0"/>
              <w:numPr>
                <w:ilvl w:val="0"/>
                <w:numId w:val="9"/>
              </w:numPr>
            </w:pPr>
            <w:r>
              <w:t>Consistent with Tasmania for submissions not of significant or controversial issues.</w:t>
            </w:r>
          </w:p>
          <w:p w14:paraId="6DD45655" w14:textId="77777777" w:rsidR="005D4B9C" w:rsidRDefault="008F6A94" w:rsidP="005D4B9C">
            <w:pPr>
              <w:pStyle w:val="ListParagraph"/>
              <w:keepNext w:val="0"/>
              <w:widowControl w:val="0"/>
              <w:numPr>
                <w:ilvl w:val="0"/>
                <w:numId w:val="4"/>
              </w:numPr>
            </w:pPr>
            <w:r>
              <w:t>Consistent with Victoria for minor submissions and responses from pu</w:t>
            </w:r>
            <w:r w:rsidR="002E636D">
              <w:t>b</w:t>
            </w:r>
            <w:r>
              <w:t>lic or stakeholders that are pro forma in nature.</w:t>
            </w:r>
          </w:p>
          <w:p w14:paraId="243F6AB0" w14:textId="3C5ACCD3" w:rsidR="002E636D" w:rsidRDefault="002E636D" w:rsidP="00BD63E7">
            <w:pPr>
              <w:keepNext w:val="0"/>
              <w:widowControl w:val="0"/>
            </w:pPr>
            <w:r w:rsidRPr="005D4B9C">
              <w:rPr>
                <w:b/>
              </w:rPr>
              <w:t xml:space="preserve">Justification/Remarks: </w:t>
            </w:r>
            <w:r w:rsidR="005D4B9C">
              <w:t>No change.</w:t>
            </w:r>
            <w:r w:rsidR="00BD63E7">
              <w:t xml:space="preserve"> </w:t>
            </w:r>
            <w:r w:rsidR="005D4B9C">
              <w:t>Previously these records were covered in FA254 and have been moved into FA313 to simplify disposal.</w:t>
            </w:r>
          </w:p>
        </w:tc>
      </w:tr>
    </w:tbl>
    <w:p w14:paraId="7236B9EE" w14:textId="77777777" w:rsidR="008F6A94" w:rsidRDefault="008F6A94" w:rsidP="002E636D">
      <w:pPr>
        <w:keepNext w:val="0"/>
        <w:widowControl w:val="0"/>
      </w:pPr>
    </w:p>
    <w:sectPr w:rsidR="008F6A94" w:rsidSect="007B69F9">
      <w:headerReference w:type="default" r:id="rId15"/>
      <w:footerReference w:type="default" r:id="rId16"/>
      <w:headerReference w:type="first" r:id="rId17"/>
      <w:footerReference w:type="first" r:id="rId18"/>
      <w:pgSz w:w="11907" w:h="16840" w:code="9"/>
      <w:pgMar w:top="851" w:right="851" w:bottom="1276" w:left="851" w:header="567" w:footer="567"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B9968" w14:textId="77777777" w:rsidR="00901ABF" w:rsidRDefault="00901ABF">
      <w:r>
        <w:separator/>
      </w:r>
    </w:p>
  </w:endnote>
  <w:endnote w:type="continuationSeparator" w:id="0">
    <w:p w14:paraId="5A90F641" w14:textId="77777777" w:rsidR="00901ABF" w:rsidRDefault="00901ABF">
      <w:r>
        <w:continuationSeparator/>
      </w:r>
    </w:p>
  </w:endnote>
  <w:endnote w:type="continuationNotice" w:id="1">
    <w:p w14:paraId="7C98C1DB" w14:textId="77777777" w:rsidR="00901ABF" w:rsidRDefault="00901AB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rtugal">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ublic Sans 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E0A02" w14:textId="06B43D4B" w:rsidR="008A5010" w:rsidRDefault="008F6A94" w:rsidP="00E21AAC">
    <w:pPr>
      <w:pBdr>
        <w:top w:val="single" w:sz="6" w:space="4" w:color="4F81BD"/>
      </w:pBdr>
      <w:tabs>
        <w:tab w:val="right" w:pos="10205"/>
      </w:tabs>
      <w:rPr>
        <w:smallCaps/>
        <w:sz w:val="18"/>
      </w:rPr>
    </w:pPr>
    <w:r>
      <w:rPr>
        <w:sz w:val="18"/>
      </w:rPr>
      <w:t>State Records Authority NSW</w:t>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ABBFF" w14:textId="1B999416" w:rsidR="008A5010" w:rsidRDefault="008F6A94" w:rsidP="00316539">
    <w:pPr>
      <w:pBdr>
        <w:top w:val="single" w:sz="6" w:space="4" w:color="4F81BD"/>
      </w:pBdr>
      <w:tabs>
        <w:tab w:val="right" w:pos="10205"/>
      </w:tabs>
      <w:rPr>
        <w:smallCaps/>
        <w:sz w:val="18"/>
      </w:rPr>
    </w:pPr>
    <w:r>
      <w:rPr>
        <w:sz w:val="18"/>
      </w:rPr>
      <w:t>State Records Authority NSW</w:t>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8B490" w14:textId="0B4680C5" w:rsidR="008A5010" w:rsidRDefault="008F6A94" w:rsidP="004745B6">
    <w:pPr>
      <w:pBdr>
        <w:top w:val="single" w:sz="6" w:space="4" w:color="4F81BD"/>
      </w:pBdr>
      <w:tabs>
        <w:tab w:val="right" w:pos="10205"/>
      </w:tabs>
      <w:rPr>
        <w:smallCaps/>
        <w:sz w:val="18"/>
      </w:rPr>
    </w:pPr>
    <w:r>
      <w:rPr>
        <w:sz w:val="18"/>
      </w:rPr>
      <w:t>State Records Authority NSW</w:t>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46656" w14:textId="0D6A4867" w:rsidR="008A5010" w:rsidRDefault="008F6A94" w:rsidP="004745B6">
    <w:pPr>
      <w:pBdr>
        <w:top w:val="single" w:sz="6" w:space="4" w:color="4F81BD"/>
      </w:pBdr>
      <w:tabs>
        <w:tab w:val="right" w:pos="10205"/>
      </w:tabs>
      <w:rPr>
        <w:smallCaps/>
        <w:sz w:val="18"/>
      </w:rPr>
    </w:pPr>
    <w:r>
      <w:rPr>
        <w:sz w:val="18"/>
      </w:rPr>
      <w:t>State Records Authority NSW</w:t>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D8776" w14:textId="77777777" w:rsidR="00901ABF" w:rsidRDefault="00901ABF">
      <w:r>
        <w:separator/>
      </w:r>
    </w:p>
  </w:footnote>
  <w:footnote w:type="continuationSeparator" w:id="0">
    <w:p w14:paraId="25BF079E" w14:textId="77777777" w:rsidR="00901ABF" w:rsidRDefault="00901ABF">
      <w:r>
        <w:continuationSeparator/>
      </w:r>
    </w:p>
  </w:footnote>
  <w:footnote w:type="continuationNotice" w:id="1">
    <w:p w14:paraId="41EF407F" w14:textId="77777777" w:rsidR="00901ABF" w:rsidRDefault="00901AB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F85F8" w14:textId="03144478" w:rsidR="008720D0" w:rsidRDefault="008720D0">
    <w:pPr>
      <w:pStyle w:val="Header"/>
    </w:pPr>
    <w:r>
      <w:rPr>
        <w:color w:val="002664"/>
        <w:sz w:val="24"/>
      </w:rPr>
      <w:t>State Records Authority NSW</w:t>
    </w:r>
    <w:r>
      <w:rPr>
        <w:color w:val="002664"/>
        <w:sz w:val="24"/>
      </w:rPr>
      <w:br/>
      <w:t>156th Board Meeting</w:t>
    </w:r>
    <w:r>
      <w:rPr>
        <w:color w:val="002664"/>
        <w:sz w:val="24"/>
      </w:rPr>
      <w:br/>
      <w:t>26 February 2025</w:t>
    </w:r>
  </w:p>
  <w:p w14:paraId="32A7A6C9" w14:textId="77777777" w:rsidR="008720D0" w:rsidRDefault="008720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146B5" w14:textId="005F3388" w:rsidR="008A5010" w:rsidRDefault="0040337C">
    <w:pPr>
      <w:pStyle w:val="Subtitle"/>
    </w:pPr>
    <w:r>
      <w:t xml:space="preserve">The </w:t>
    </w:r>
    <w:r w:rsidR="008F6A94">
      <w:t>Premier's Department</w:t>
    </w:r>
    <w:r w:rsidR="002E636D">
      <w:t xml:space="preserve"> </w:t>
    </w:r>
    <w:r w:rsidR="008F6A94">
      <w:t xml:space="preserve">and </w:t>
    </w:r>
    <w:r>
      <w:t xml:space="preserve">The </w:t>
    </w:r>
    <w:r w:rsidR="008F6A94">
      <w:t>Cabinet Office</w:t>
    </w:r>
  </w:p>
  <w:p w14:paraId="11626FFD" w14:textId="67569C35" w:rsidR="008A5010" w:rsidRDefault="008F6A94" w:rsidP="005B24A7">
    <w:pPr>
      <w:pStyle w:val="Heading4"/>
      <w:tabs>
        <w:tab w:val="right" w:pos="10205"/>
      </w:tabs>
      <w:rPr>
        <w:bCs/>
      </w:rPr>
    </w:pPr>
    <w:r>
      <w:rPr>
        <w:bCs/>
      </w:rPr>
      <w:t>AR No: AR</w:t>
    </w:r>
    <w:r w:rsidR="0040337C">
      <w:rPr>
        <w:bCs/>
      </w:rPr>
      <w:t>573</w:t>
    </w:r>
    <w:r>
      <w:rPr>
        <w:bCs/>
      </w:rPr>
      <w:tab/>
      <w:t>Dates of coverage: Open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15"/>
      <w:gridCol w:w="6527"/>
      <w:gridCol w:w="2547"/>
    </w:tblGrid>
    <w:tr w:rsidR="008A5010" w14:paraId="4EB7431E" w14:textId="77777777" w:rsidTr="002357FA">
      <w:trPr>
        <w:jc w:val="center"/>
      </w:trPr>
      <w:tc>
        <w:tcPr>
          <w:tcW w:w="547" w:type="pct"/>
          <w:shd w:val="clear" w:color="auto" w:fill="auto"/>
        </w:tcPr>
        <w:p w14:paraId="086EF569" w14:textId="77777777" w:rsidR="008A5010" w:rsidRDefault="008F6A94">
          <w:pPr>
            <w:spacing w:before="100" w:beforeAutospacing="1" w:after="100" w:afterAutospacing="1"/>
            <w:rPr>
              <w:b/>
              <w:szCs w:val="24"/>
            </w:rPr>
          </w:pPr>
          <w:r>
            <w:rPr>
              <w:b/>
              <w:szCs w:val="24"/>
            </w:rPr>
            <w:t>No.</w:t>
          </w:r>
        </w:p>
      </w:tc>
      <w:tc>
        <w:tcPr>
          <w:tcW w:w="3203" w:type="pct"/>
          <w:shd w:val="clear" w:color="auto" w:fill="auto"/>
        </w:tcPr>
        <w:p w14:paraId="23C96EF9" w14:textId="77777777" w:rsidR="008A5010" w:rsidRDefault="008F6A94">
          <w:pPr>
            <w:spacing w:before="100" w:beforeAutospacing="1" w:after="100" w:afterAutospacing="1"/>
            <w:rPr>
              <w:b/>
              <w:szCs w:val="24"/>
            </w:rPr>
          </w:pPr>
          <w:r>
            <w:rPr>
              <w:b/>
              <w:szCs w:val="24"/>
            </w:rPr>
            <w:t>Description of records</w:t>
          </w:r>
        </w:p>
      </w:tc>
      <w:tc>
        <w:tcPr>
          <w:tcW w:w="1250" w:type="pct"/>
          <w:shd w:val="clear" w:color="auto" w:fill="auto"/>
        </w:tcPr>
        <w:p w14:paraId="01B31848" w14:textId="77777777" w:rsidR="008A5010" w:rsidRDefault="008F6A94">
          <w:pPr>
            <w:spacing w:before="100" w:beforeAutospacing="1" w:after="100" w:afterAutospacing="1"/>
            <w:rPr>
              <w:b/>
              <w:szCs w:val="24"/>
            </w:rPr>
          </w:pPr>
          <w:r>
            <w:rPr>
              <w:b/>
              <w:szCs w:val="24"/>
            </w:rPr>
            <w:t>Disposal action</w:t>
          </w:r>
        </w:p>
      </w:tc>
    </w:tr>
  </w:tbl>
  <w:p w14:paraId="6796C23F" w14:textId="13B1E150" w:rsidR="008A5010" w:rsidRDefault="008A5010">
    <w:pPr>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2CD64" w14:textId="7009FAD2" w:rsidR="008A5010" w:rsidRDefault="008F6A94">
    <w:pPr>
      <w:pStyle w:val="Subtitle"/>
    </w:pPr>
    <w:r>
      <w:t xml:space="preserve">Appraisal Report </w:t>
    </w:r>
    <w:r>
      <w:br/>
    </w:r>
    <w:r w:rsidR="0040337C">
      <w:t xml:space="preserve">The </w:t>
    </w:r>
    <w:r>
      <w:t>Premier's Department</w:t>
    </w:r>
    <w:r w:rsidR="00EC001D">
      <w:t xml:space="preserve"> </w:t>
    </w:r>
    <w:r>
      <w:t xml:space="preserve">and </w:t>
    </w:r>
    <w:r w:rsidR="0040337C">
      <w:t xml:space="preserve">The </w:t>
    </w:r>
    <w:r>
      <w:t>Cabinet Office</w:t>
    </w:r>
  </w:p>
  <w:p w14:paraId="29EE4727" w14:textId="4D5E19FD" w:rsidR="008A5010" w:rsidRDefault="008F6A94" w:rsidP="005B24A7">
    <w:pPr>
      <w:pStyle w:val="Heading4"/>
      <w:tabs>
        <w:tab w:val="right" w:pos="10205"/>
      </w:tabs>
      <w:rPr>
        <w:bCs/>
      </w:rPr>
    </w:pPr>
    <w:r>
      <w:rPr>
        <w:bCs/>
      </w:rPr>
      <w:t>AR No: AR</w:t>
    </w:r>
    <w:r w:rsidR="0040337C">
      <w:rPr>
        <w:bCs/>
      </w:rPr>
      <w:t>573</w:t>
    </w:r>
    <w:r>
      <w:rPr>
        <w:bCs/>
      </w:rPr>
      <w:tab/>
      <w:t>Dates of coverage: Open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27"/>
      <w:gridCol w:w="6521"/>
      <w:gridCol w:w="2541"/>
    </w:tblGrid>
    <w:tr w:rsidR="008A5010" w14:paraId="7B633952" w14:textId="77777777" w:rsidTr="002357FA">
      <w:trPr>
        <w:jc w:val="center"/>
      </w:trPr>
      <w:tc>
        <w:tcPr>
          <w:tcW w:w="553" w:type="pct"/>
          <w:shd w:val="clear" w:color="auto" w:fill="auto"/>
        </w:tcPr>
        <w:p w14:paraId="352C6422" w14:textId="77777777" w:rsidR="008A5010" w:rsidRDefault="008F6A94">
          <w:pPr>
            <w:spacing w:before="100" w:beforeAutospacing="1" w:after="100" w:afterAutospacing="1"/>
            <w:rPr>
              <w:b/>
              <w:szCs w:val="24"/>
            </w:rPr>
          </w:pPr>
          <w:r>
            <w:rPr>
              <w:b/>
              <w:szCs w:val="24"/>
            </w:rPr>
            <w:t>No.</w:t>
          </w:r>
        </w:p>
      </w:tc>
      <w:tc>
        <w:tcPr>
          <w:tcW w:w="3200" w:type="pct"/>
          <w:shd w:val="clear" w:color="auto" w:fill="auto"/>
        </w:tcPr>
        <w:p w14:paraId="030A3257" w14:textId="77777777" w:rsidR="008A5010" w:rsidRDefault="008F6A94">
          <w:pPr>
            <w:spacing w:before="100" w:beforeAutospacing="1" w:after="100" w:afterAutospacing="1"/>
            <w:rPr>
              <w:b/>
              <w:szCs w:val="24"/>
            </w:rPr>
          </w:pPr>
          <w:r>
            <w:rPr>
              <w:b/>
              <w:szCs w:val="24"/>
            </w:rPr>
            <w:t>Description of records</w:t>
          </w:r>
        </w:p>
      </w:tc>
      <w:tc>
        <w:tcPr>
          <w:tcW w:w="1247" w:type="pct"/>
          <w:shd w:val="clear" w:color="auto" w:fill="auto"/>
        </w:tcPr>
        <w:p w14:paraId="3939D9BF" w14:textId="77777777" w:rsidR="008A5010" w:rsidRDefault="008F6A94">
          <w:pPr>
            <w:spacing w:before="100" w:beforeAutospacing="1" w:after="100" w:afterAutospacing="1"/>
            <w:rPr>
              <w:b/>
              <w:szCs w:val="24"/>
            </w:rPr>
          </w:pPr>
          <w:r>
            <w:rPr>
              <w:b/>
              <w:szCs w:val="24"/>
            </w:rPr>
            <w:t>Disposal action</w:t>
          </w:r>
        </w:p>
      </w:tc>
    </w:tr>
  </w:tbl>
  <w:p w14:paraId="289AF3D4" w14:textId="77777777" w:rsidR="008A5010" w:rsidRDefault="008A5010">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671AB4"/>
    <w:multiLevelType w:val="hybridMultilevel"/>
    <w:tmpl w:val="148E0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F4C2C"/>
    <w:multiLevelType w:val="hybridMultilevel"/>
    <w:tmpl w:val="101C5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857DE0"/>
    <w:multiLevelType w:val="hybridMultilevel"/>
    <w:tmpl w:val="87821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6D138A"/>
    <w:multiLevelType w:val="hybridMultilevel"/>
    <w:tmpl w:val="6CEAE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664201"/>
    <w:multiLevelType w:val="hybridMultilevel"/>
    <w:tmpl w:val="AB2E8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AD1FE8"/>
    <w:multiLevelType w:val="multilevel"/>
    <w:tmpl w:val="5AA269A4"/>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2F4746"/>
    <w:multiLevelType w:val="hybridMultilevel"/>
    <w:tmpl w:val="17986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5B3B46"/>
    <w:multiLevelType w:val="hybridMultilevel"/>
    <w:tmpl w:val="7B14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F48C9"/>
    <w:multiLevelType w:val="hybridMultilevel"/>
    <w:tmpl w:val="2D5C8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E613BC"/>
    <w:multiLevelType w:val="hybridMultilevel"/>
    <w:tmpl w:val="6F989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6621851">
    <w:abstractNumId w:val="0"/>
  </w:num>
  <w:num w:numId="2" w16cid:durableId="124205675">
    <w:abstractNumId w:val="6"/>
  </w:num>
  <w:num w:numId="3" w16cid:durableId="1102262885">
    <w:abstractNumId w:val="2"/>
  </w:num>
  <w:num w:numId="4" w16cid:durableId="1992981284">
    <w:abstractNumId w:val="7"/>
  </w:num>
  <w:num w:numId="5" w16cid:durableId="1028918113">
    <w:abstractNumId w:val="5"/>
  </w:num>
  <w:num w:numId="6" w16cid:durableId="2056152252">
    <w:abstractNumId w:val="9"/>
  </w:num>
  <w:num w:numId="7" w16cid:durableId="508565229">
    <w:abstractNumId w:val="4"/>
  </w:num>
  <w:num w:numId="8" w16cid:durableId="2013020389">
    <w:abstractNumId w:val="10"/>
  </w:num>
  <w:num w:numId="9" w16cid:durableId="1667584988">
    <w:abstractNumId w:val="8"/>
  </w:num>
  <w:num w:numId="10" w16cid:durableId="1588884548">
    <w:abstractNumId w:val="3"/>
  </w:num>
  <w:num w:numId="11" w16cid:durableId="158453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proofState w:spelling="clean" w:grammar="clean"/>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10"/>
    <w:rsid w:val="00015A46"/>
    <w:rsid w:val="00051F62"/>
    <w:rsid w:val="00052C2B"/>
    <w:rsid w:val="000558F5"/>
    <w:rsid w:val="00060AD9"/>
    <w:rsid w:val="000620D4"/>
    <w:rsid w:val="000807CD"/>
    <w:rsid w:val="000979BD"/>
    <w:rsid w:val="000B73B1"/>
    <w:rsid w:val="000D4575"/>
    <w:rsid w:val="000E2AFE"/>
    <w:rsid w:val="000F0418"/>
    <w:rsid w:val="000F7AAA"/>
    <w:rsid w:val="00104CD4"/>
    <w:rsid w:val="00112A43"/>
    <w:rsid w:val="00136F08"/>
    <w:rsid w:val="00140FAD"/>
    <w:rsid w:val="00147DB1"/>
    <w:rsid w:val="00167A97"/>
    <w:rsid w:val="00170D60"/>
    <w:rsid w:val="00175CFD"/>
    <w:rsid w:val="001A3950"/>
    <w:rsid w:val="001A7AB3"/>
    <w:rsid w:val="001D7FFC"/>
    <w:rsid w:val="00203627"/>
    <w:rsid w:val="00216A3F"/>
    <w:rsid w:val="002357FA"/>
    <w:rsid w:val="002455CA"/>
    <w:rsid w:val="00254D7F"/>
    <w:rsid w:val="00260948"/>
    <w:rsid w:val="00261425"/>
    <w:rsid w:val="002A5051"/>
    <w:rsid w:val="002B0258"/>
    <w:rsid w:val="002D5100"/>
    <w:rsid w:val="002E2519"/>
    <w:rsid w:val="002E636D"/>
    <w:rsid w:val="00316539"/>
    <w:rsid w:val="00331E91"/>
    <w:rsid w:val="00334F97"/>
    <w:rsid w:val="00336708"/>
    <w:rsid w:val="003A4A66"/>
    <w:rsid w:val="003A5B7C"/>
    <w:rsid w:val="003C3DDC"/>
    <w:rsid w:val="003C4584"/>
    <w:rsid w:val="003C4A80"/>
    <w:rsid w:val="003D0E1C"/>
    <w:rsid w:val="003F642C"/>
    <w:rsid w:val="0040337C"/>
    <w:rsid w:val="00420985"/>
    <w:rsid w:val="004745B6"/>
    <w:rsid w:val="004A55B8"/>
    <w:rsid w:val="004A69FB"/>
    <w:rsid w:val="004C3A5D"/>
    <w:rsid w:val="004E1FCF"/>
    <w:rsid w:val="004F0560"/>
    <w:rsid w:val="0050767E"/>
    <w:rsid w:val="00525087"/>
    <w:rsid w:val="00526703"/>
    <w:rsid w:val="00575591"/>
    <w:rsid w:val="005A0367"/>
    <w:rsid w:val="005B24A7"/>
    <w:rsid w:val="005D4B9C"/>
    <w:rsid w:val="005E0F25"/>
    <w:rsid w:val="005F5C36"/>
    <w:rsid w:val="0061177A"/>
    <w:rsid w:val="006466EF"/>
    <w:rsid w:val="006B403D"/>
    <w:rsid w:val="006C6898"/>
    <w:rsid w:val="006E662F"/>
    <w:rsid w:val="00720C98"/>
    <w:rsid w:val="007375CF"/>
    <w:rsid w:val="007408A1"/>
    <w:rsid w:val="00742607"/>
    <w:rsid w:val="00773D99"/>
    <w:rsid w:val="007B69F9"/>
    <w:rsid w:val="007C0608"/>
    <w:rsid w:val="007C28D2"/>
    <w:rsid w:val="00811038"/>
    <w:rsid w:val="008208B6"/>
    <w:rsid w:val="00837C77"/>
    <w:rsid w:val="00854B74"/>
    <w:rsid w:val="0086022A"/>
    <w:rsid w:val="00863109"/>
    <w:rsid w:val="008720D0"/>
    <w:rsid w:val="008A5010"/>
    <w:rsid w:val="008E0846"/>
    <w:rsid w:val="008E3880"/>
    <w:rsid w:val="008E50F8"/>
    <w:rsid w:val="008F6A94"/>
    <w:rsid w:val="00901ABF"/>
    <w:rsid w:val="00930166"/>
    <w:rsid w:val="00931DA5"/>
    <w:rsid w:val="009567DB"/>
    <w:rsid w:val="00962A12"/>
    <w:rsid w:val="00973E1C"/>
    <w:rsid w:val="00976D12"/>
    <w:rsid w:val="00A30091"/>
    <w:rsid w:val="00A66D96"/>
    <w:rsid w:val="00A71C3D"/>
    <w:rsid w:val="00A73AAE"/>
    <w:rsid w:val="00A91D2D"/>
    <w:rsid w:val="00A95C2D"/>
    <w:rsid w:val="00AC1F81"/>
    <w:rsid w:val="00AC26CD"/>
    <w:rsid w:val="00AC350F"/>
    <w:rsid w:val="00AC3C8C"/>
    <w:rsid w:val="00AC45FD"/>
    <w:rsid w:val="00B07E57"/>
    <w:rsid w:val="00B1050D"/>
    <w:rsid w:val="00B84D35"/>
    <w:rsid w:val="00B90A3F"/>
    <w:rsid w:val="00BB74CA"/>
    <w:rsid w:val="00BD63E7"/>
    <w:rsid w:val="00BE032C"/>
    <w:rsid w:val="00C00FF5"/>
    <w:rsid w:val="00C043DF"/>
    <w:rsid w:val="00C054AF"/>
    <w:rsid w:val="00C457F8"/>
    <w:rsid w:val="00CB268A"/>
    <w:rsid w:val="00CC7BAE"/>
    <w:rsid w:val="00CD1323"/>
    <w:rsid w:val="00CD2493"/>
    <w:rsid w:val="00D22301"/>
    <w:rsid w:val="00D327E9"/>
    <w:rsid w:val="00D64C38"/>
    <w:rsid w:val="00D77FDE"/>
    <w:rsid w:val="00D951F0"/>
    <w:rsid w:val="00DF627A"/>
    <w:rsid w:val="00E02E09"/>
    <w:rsid w:val="00E1608C"/>
    <w:rsid w:val="00E21AAC"/>
    <w:rsid w:val="00E51281"/>
    <w:rsid w:val="00E56CDB"/>
    <w:rsid w:val="00EC001D"/>
    <w:rsid w:val="00ED14E9"/>
    <w:rsid w:val="00EE18A3"/>
    <w:rsid w:val="00F21D20"/>
    <w:rsid w:val="00F31835"/>
    <w:rsid w:val="00F57794"/>
    <w:rsid w:val="00F869F2"/>
    <w:rsid w:val="00FC3F19"/>
    <w:rsid w:val="00FC48B6"/>
    <w:rsid w:val="00FD01FE"/>
    <w:rsid w:val="00FF1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2FDEC"/>
  <w15:docId w15:val="{C9967123-0B61-4C92-8F1E-65FCC4A2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010"/>
    <w:pPr>
      <w:keepNext/>
      <w:spacing w:before="60" w:after="60"/>
    </w:pPr>
    <w:rPr>
      <w:rFonts w:ascii="Arial" w:hAnsi="Arial"/>
      <w:sz w:val="22"/>
    </w:rPr>
  </w:style>
  <w:style w:type="paragraph" w:styleId="Heading1">
    <w:name w:val="heading 1"/>
    <w:basedOn w:val="Normal"/>
    <w:next w:val="Normal"/>
    <w:qFormat/>
    <w:rsid w:val="008A5010"/>
    <w:pPr>
      <w:spacing w:before="150"/>
      <w:ind w:left="709" w:hanging="709"/>
      <w:outlineLvl w:val="0"/>
    </w:pPr>
    <w:rPr>
      <w:b/>
      <w:sz w:val="24"/>
    </w:rPr>
  </w:style>
  <w:style w:type="paragraph" w:styleId="Heading2">
    <w:name w:val="heading 2"/>
    <w:basedOn w:val="Normal"/>
    <w:next w:val="Normal"/>
    <w:qFormat/>
    <w:rsid w:val="008A5010"/>
    <w:pPr>
      <w:spacing w:before="180"/>
      <w:outlineLvl w:val="1"/>
    </w:pPr>
    <w:rPr>
      <w:b/>
    </w:rPr>
  </w:style>
  <w:style w:type="paragraph" w:styleId="Heading3">
    <w:name w:val="heading 3"/>
    <w:basedOn w:val="Normal"/>
    <w:next w:val="Normal"/>
    <w:qFormat/>
    <w:rsid w:val="008A5010"/>
    <w:pPr>
      <w:outlineLvl w:val="2"/>
    </w:pPr>
    <w:rPr>
      <w:b/>
    </w:rPr>
  </w:style>
  <w:style w:type="paragraph" w:styleId="Heading4">
    <w:name w:val="heading 4"/>
    <w:basedOn w:val="Normal"/>
    <w:next w:val="Normal"/>
    <w:qFormat/>
    <w:rsid w:val="008A501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spacing w:after="100" w:line="150" w:lineRule="atLeast"/>
      <w:ind w:left="0" w:firstLine="0"/>
    </w:pPr>
    <w:rPr>
      <w:color w:val="002664"/>
      <w:sz w:val="25"/>
      <w:szCs w:val="25"/>
    </w:rPr>
  </w:style>
  <w:style w:type="character" w:customStyle="1" w:styleId="ARTitle">
    <w:name w:val="AR Title"/>
    <w:rsid w:val="00656F95"/>
    <w:rPr>
      <w:b/>
      <w:bCs/>
      <w:color w:val="002664"/>
      <w:sz w:val="28"/>
      <w:szCs w:val="28"/>
    </w:rPr>
  </w:style>
  <w:style w:type="character" w:customStyle="1" w:styleId="ARSubtitle">
    <w:name w:val="AR Subtitle"/>
    <w:rsid w:val="008A5010"/>
    <w:rPr>
      <w:b/>
      <w:bCs/>
      <w:color w:val="002664"/>
      <w:sz w:val="25"/>
      <w:szCs w:val="25"/>
    </w:rPr>
  </w:style>
  <w:style w:type="character" w:customStyle="1" w:styleId="ARSubtitleCaption">
    <w:name w:val="AR Subtitle Caption"/>
    <w:rsid w:val="008A5010"/>
    <w:rPr>
      <w:color w:val="002664"/>
      <w:sz w:val="22"/>
      <w:szCs w:val="22"/>
    </w:rPr>
  </w:style>
  <w:style w:type="paragraph" w:customStyle="1" w:styleId="ARItem">
    <w:name w:val="AR Item"/>
    <w:basedOn w:val="Normal"/>
    <w:rsid w:val="008A5010"/>
    <w:pPr>
      <w:pBdr>
        <w:bottom w:val="single" w:sz="6" w:space="4" w:color="4F81BD"/>
      </w:pBdr>
      <w:jc w:val="right"/>
    </w:pPr>
    <w:rPr>
      <w:b/>
      <w:bCs/>
      <w:color w:val="002664"/>
      <w:sz w:val="28"/>
      <w:szCs w:val="28"/>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8A5010"/>
    <w:pPr>
      <w:pBdr>
        <w:bottom w:val="single" w:sz="4" w:space="1" w:color="auto"/>
      </w:pBdr>
      <w:ind w:left="709" w:hanging="709"/>
    </w:pPr>
    <w:rPr>
      <w:b/>
      <w:sz w:val="40"/>
    </w:rPr>
  </w:style>
  <w:style w:type="paragraph" w:styleId="Footer">
    <w:name w:val="footer"/>
    <w:basedOn w:val="Normal"/>
    <w:rsid w:val="008A5010"/>
    <w:pPr>
      <w:tabs>
        <w:tab w:val="right" w:pos="9072"/>
      </w:tabs>
    </w:pPr>
    <w:rPr>
      <w:sz w:val="16"/>
    </w:rPr>
  </w:style>
  <w:style w:type="paragraph" w:customStyle="1" w:styleId="FooterA4Shell">
    <w:name w:val="Footer A4 Shell"/>
    <w:basedOn w:val="Normal"/>
    <w:rsid w:val="008A5010"/>
    <w:pPr>
      <w:tabs>
        <w:tab w:val="right" w:pos="7655"/>
      </w:tabs>
    </w:pPr>
    <w:rPr>
      <w:sz w:val="18"/>
    </w:rPr>
  </w:style>
  <w:style w:type="character" w:styleId="FootnoteReference">
    <w:name w:val="footnote reference"/>
    <w:basedOn w:val="DefaultParagraphFont"/>
    <w:semiHidden/>
    <w:rsid w:val="008A5010"/>
    <w:rPr>
      <w:rFonts w:ascii="Verdana" w:hAnsi="Verdana"/>
      <w:sz w:val="18"/>
      <w:vertAlign w:val="superscript"/>
    </w:rPr>
  </w:style>
  <w:style w:type="paragraph" w:styleId="FootnoteText">
    <w:name w:val="footnote text"/>
    <w:basedOn w:val="Normal"/>
    <w:semiHidden/>
    <w:rsid w:val="008A5010"/>
    <w:pPr>
      <w:spacing w:before="0" w:after="0"/>
      <w:ind w:left="709" w:hanging="709"/>
    </w:pPr>
    <w:rPr>
      <w:sz w:val="18"/>
    </w:rPr>
  </w:style>
  <w:style w:type="paragraph" w:styleId="Header">
    <w:name w:val="header"/>
    <w:basedOn w:val="Normal"/>
    <w:link w:val="HeaderChar"/>
    <w:uiPriority w:val="99"/>
    <w:rsid w:val="008A5010"/>
    <w:pPr>
      <w:tabs>
        <w:tab w:val="right" w:pos="9072"/>
      </w:tabs>
      <w:spacing w:before="0" w:after="0"/>
    </w:pPr>
    <w:rPr>
      <w:sz w:val="18"/>
    </w:rPr>
  </w:style>
  <w:style w:type="paragraph" w:customStyle="1" w:styleId="InternalHeader">
    <w:name w:val="Internal Header"/>
    <w:basedOn w:val="Normal"/>
    <w:rsid w:val="008A5010"/>
    <w:pPr>
      <w:jc w:val="center"/>
    </w:pPr>
    <w:rPr>
      <w:b/>
    </w:rPr>
  </w:style>
  <w:style w:type="paragraph" w:customStyle="1" w:styleId="InternalListNumber">
    <w:name w:val="Internal List Number"/>
    <w:basedOn w:val="Normal"/>
    <w:rsid w:val="008A5010"/>
    <w:pPr>
      <w:numPr>
        <w:numId w:val="2"/>
      </w:numPr>
      <w:spacing w:before="240"/>
    </w:pPr>
  </w:style>
  <w:style w:type="paragraph" w:customStyle="1" w:styleId="InternalSubheading">
    <w:name w:val="Internal Subheading"/>
    <w:basedOn w:val="Normal"/>
    <w:rsid w:val="008A5010"/>
    <w:pPr>
      <w:jc w:val="center"/>
    </w:pPr>
    <w:rPr>
      <w:b/>
    </w:rPr>
  </w:style>
  <w:style w:type="paragraph" w:customStyle="1" w:styleId="ListBullet1">
    <w:name w:val="List Bullet 1"/>
    <w:basedOn w:val="Normal"/>
    <w:rsid w:val="008A5010"/>
    <w:pPr>
      <w:tabs>
        <w:tab w:val="num" w:pos="709"/>
      </w:tabs>
      <w:spacing w:before="0"/>
      <w:ind w:left="709" w:hanging="709"/>
    </w:pPr>
  </w:style>
  <w:style w:type="paragraph" w:customStyle="1" w:styleId="Normalsingle">
    <w:name w:val="Normal single"/>
    <w:basedOn w:val="Normal"/>
    <w:rsid w:val="008A5010"/>
    <w:pPr>
      <w:spacing w:before="0" w:after="0"/>
    </w:pPr>
  </w:style>
  <w:style w:type="character" w:styleId="PageNumber">
    <w:name w:val="page number"/>
    <w:basedOn w:val="DefaultParagraphFont"/>
    <w:rsid w:val="008A5010"/>
    <w:rPr>
      <w:rFonts w:ascii="Verdana" w:hAnsi="Verdana"/>
      <w:sz w:val="18"/>
    </w:rPr>
  </w:style>
  <w:style w:type="paragraph" w:styleId="Subtitle">
    <w:name w:val="Subtitle"/>
    <w:basedOn w:val="Normal"/>
    <w:qFormat/>
    <w:rsid w:val="008A5010"/>
    <w:pPr>
      <w:jc w:val="center"/>
    </w:pPr>
    <w:rPr>
      <w:rFonts w:cs="Arial"/>
      <w:b/>
      <w:sz w:val="24"/>
      <w:szCs w:val="24"/>
    </w:rPr>
  </w:style>
  <w:style w:type="paragraph" w:styleId="Title">
    <w:name w:val="Title"/>
    <w:basedOn w:val="Normal"/>
    <w:qFormat/>
    <w:rsid w:val="008A5010"/>
    <w:pPr>
      <w:jc w:val="center"/>
    </w:pPr>
    <w:rPr>
      <w:rFonts w:cs="Arial"/>
      <w:b/>
      <w:bCs/>
      <w:sz w:val="32"/>
      <w:szCs w:val="32"/>
    </w:rPr>
  </w:style>
  <w:style w:type="paragraph" w:styleId="TOC1">
    <w:name w:val="toc 1"/>
    <w:basedOn w:val="Normal"/>
    <w:next w:val="Normal"/>
    <w:autoRedefine/>
    <w:semiHidden/>
    <w:rsid w:val="008A5010"/>
    <w:pPr>
      <w:tabs>
        <w:tab w:val="right" w:pos="9072"/>
      </w:tabs>
      <w:spacing w:before="80" w:after="80"/>
    </w:pPr>
    <w:rPr>
      <w:b/>
    </w:rPr>
  </w:style>
  <w:style w:type="paragraph" w:styleId="TOC2">
    <w:name w:val="toc 2"/>
    <w:basedOn w:val="Normal"/>
    <w:next w:val="Normal"/>
    <w:autoRedefine/>
    <w:semiHidden/>
    <w:rsid w:val="008A5010"/>
    <w:pPr>
      <w:tabs>
        <w:tab w:val="right" w:pos="9072"/>
      </w:tabs>
      <w:spacing w:before="80" w:after="80"/>
    </w:pPr>
  </w:style>
  <w:style w:type="table" w:styleId="TableGrid">
    <w:name w:val="Table Grid"/>
    <w:basedOn w:val="TableNormal"/>
    <w:rsid w:val="008A5010"/>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A5010"/>
    <w:rPr>
      <w:i/>
      <w:iCs/>
    </w:rPr>
  </w:style>
  <w:style w:type="character" w:styleId="Hyperlink">
    <w:name w:val="Hyperlink"/>
    <w:basedOn w:val="DefaultParagraphFont"/>
    <w:rsid w:val="008A5010"/>
    <w:rPr>
      <w:rFonts w:ascii="Verdana" w:hAnsi="Verdana"/>
      <w:color w:val="0000FF"/>
      <w:sz w:val="20"/>
      <w:u w:val="single"/>
    </w:rPr>
  </w:style>
  <w:style w:type="paragraph" w:customStyle="1" w:styleId="Hidden">
    <w:name w:val="Hidden"/>
    <w:basedOn w:val="Normal"/>
    <w:link w:val="HiddenChar"/>
    <w:rsid w:val="008A5010"/>
    <w:rPr>
      <w:vanish/>
    </w:rPr>
  </w:style>
  <w:style w:type="character" w:customStyle="1" w:styleId="HiddenChar">
    <w:name w:val="Hidden Char"/>
    <w:basedOn w:val="DefaultParagraphFont"/>
    <w:link w:val="Hidden"/>
    <w:rsid w:val="008A5010"/>
    <w:rPr>
      <w:rFonts w:ascii="Verdana" w:hAnsi="Verdana"/>
      <w:color w:val="FFFFFF"/>
      <w:sz w:val="1"/>
    </w:rPr>
  </w:style>
  <w:style w:type="paragraph" w:styleId="BodyText">
    <w:name w:val="Body Text"/>
    <w:basedOn w:val="Normal"/>
    <w:link w:val="BodyTextChar"/>
    <w:qFormat/>
    <w:rsid w:val="00EC001D"/>
    <w:pPr>
      <w:keepNext w:val="0"/>
      <w:widowControl w:val="0"/>
      <w:suppressAutoHyphens/>
      <w:autoSpaceDE w:val="0"/>
      <w:autoSpaceDN w:val="0"/>
      <w:adjustRightInd w:val="0"/>
      <w:spacing w:before="120" w:after="120"/>
      <w:textAlignment w:val="center"/>
    </w:pPr>
    <w:rPr>
      <w:rFonts w:eastAsia="Arial" w:cs="Arial"/>
      <w:color w:val="000000"/>
      <w:sz w:val="20"/>
      <w:lang w:eastAsia="en-US"/>
    </w:rPr>
  </w:style>
  <w:style w:type="character" w:customStyle="1" w:styleId="BodyTextChar">
    <w:name w:val="Body Text Char"/>
    <w:basedOn w:val="DefaultParagraphFont"/>
    <w:link w:val="BodyText"/>
    <w:rsid w:val="00EC001D"/>
    <w:rPr>
      <w:rFonts w:ascii="Arial" w:eastAsia="Arial" w:hAnsi="Arial" w:cs="Arial"/>
      <w:color w:val="000000"/>
      <w:lang w:eastAsia="en-US"/>
    </w:rPr>
  </w:style>
  <w:style w:type="table" w:styleId="TableGridLight">
    <w:name w:val="Grid Table Light"/>
    <w:basedOn w:val="TableNormal"/>
    <w:uiPriority w:val="40"/>
    <w:rsid w:val="00EC001D"/>
    <w:rPr>
      <w:rFonts w:ascii="Arial" w:eastAsia="Arial" w:hAnsi="Arial"/>
      <w:sz w:val="24"/>
      <w:szCs w:val="24"/>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rsid w:val="002E636D"/>
    <w:pPr>
      <w:ind w:left="720"/>
      <w:contextualSpacing/>
    </w:pPr>
  </w:style>
  <w:style w:type="character" w:styleId="UnresolvedMention">
    <w:name w:val="Unresolved Mention"/>
    <w:basedOn w:val="DefaultParagraphFont"/>
    <w:uiPriority w:val="99"/>
    <w:semiHidden/>
    <w:unhideWhenUsed/>
    <w:rsid w:val="00962A12"/>
    <w:rPr>
      <w:color w:val="605E5C"/>
      <w:shd w:val="clear" w:color="auto" w:fill="E1DFDD"/>
    </w:rPr>
  </w:style>
  <w:style w:type="paragraph" w:styleId="NormalWeb">
    <w:name w:val="Normal (Web)"/>
    <w:basedOn w:val="Normal"/>
    <w:rsid w:val="000B73B1"/>
    <w:rPr>
      <w:rFonts w:ascii="Times New Roman" w:hAnsi="Times New Roman"/>
      <w:sz w:val="24"/>
      <w:szCs w:val="24"/>
    </w:rPr>
  </w:style>
  <w:style w:type="character" w:customStyle="1" w:styleId="HeaderChar">
    <w:name w:val="Header Char"/>
    <w:basedOn w:val="DefaultParagraphFont"/>
    <w:link w:val="Header"/>
    <w:uiPriority w:val="99"/>
    <w:rsid w:val="008720D0"/>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71276">
      <w:bodyDiv w:val="1"/>
      <w:marLeft w:val="0"/>
      <w:marRight w:val="0"/>
      <w:marTop w:val="0"/>
      <w:marBottom w:val="0"/>
      <w:divBdr>
        <w:top w:val="none" w:sz="0" w:space="0" w:color="auto"/>
        <w:left w:val="none" w:sz="0" w:space="0" w:color="auto"/>
        <w:bottom w:val="none" w:sz="0" w:space="0" w:color="auto"/>
        <w:right w:val="none" w:sz="0" w:space="0" w:color="auto"/>
      </w:divBdr>
    </w:div>
    <w:div w:id="19752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cac.nsw.gov.au/investigations/past-investigations/2023/former-nsw-mp-for-wagga-wagga-operation-keppel/former-nsw-mp-for-wagga-wagga-allegations-concerning-breach-of-public-trust-and-dishonest-or-partial-exercise-of-official-functions-operation-keppe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03587689-6363-4595-8fce-46d91eec81df" xsi:nil="true"/>
    <Action xmlns="03587689-6363-4595-8fce-46d91eec81df" xsi:nil="true"/>
    <CM10Reference xmlns="03587689-6363-4595-8fce-46d91eec81df" xsi:nil="true"/>
    <lcf76f155ced4ddcb4097134ff3c332f xmlns="03587689-6363-4595-8fce-46d91eec81df">
      <Terms xmlns="http://schemas.microsoft.com/office/infopath/2007/PartnerControls"/>
    </lcf76f155ced4ddcb4097134ff3c332f>
    <TaxCatchAll xmlns="e346091b-32e4-4b1a-81f9-3e70bc986948" xsi:nil="true"/>
    <STATUS xmlns="03587689-6363-4595-8fce-46d91eec81d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88BCB6-F25B-483B-B065-1CF1F82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7689-6363-4595-8fce-46d91eec81df"/>
    <ds:schemaRef ds:uri="e346091b-32e4-4b1a-81f9-3e70bc98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8C3A37-EBA7-465C-9598-60807A21D01B}">
  <ds:schemaRefs>
    <ds:schemaRef ds:uri="http://www.w3.org/XML/1998/namespace"/>
    <ds:schemaRef ds:uri="http://purl.org/dc/elements/1.1/"/>
    <ds:schemaRef ds:uri="e346091b-32e4-4b1a-81f9-3e70bc986948"/>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03587689-6363-4595-8fce-46d91eec81d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6E5F96E-6D4E-492D-83E2-6866C2D553A1}">
  <ds:schemaRefs>
    <ds:schemaRef ds:uri="http://schemas.openxmlformats.org/officeDocument/2006/bibliography"/>
  </ds:schemaRefs>
</ds:datastoreItem>
</file>

<file path=customXml/itemProps4.xml><?xml version="1.0" encoding="utf-8"?>
<ds:datastoreItem xmlns:ds="http://schemas.openxmlformats.org/officeDocument/2006/customXml" ds:itemID="{58755ECF-67CF-4E7F-A857-BD288BBAF8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2634</Words>
  <Characters>15486</Characters>
  <Application>Microsoft Office Word</Application>
  <DocSecurity>0</DocSecurity>
  <Lines>459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Rianna Cawley</dc:creator>
  <cp:keywords/>
  <dc:description/>
  <cp:lastModifiedBy>Rianna Cawley</cp:lastModifiedBy>
  <cp:revision>9</cp:revision>
  <cp:lastPrinted>2025-02-18T22:25:00Z</cp:lastPrinted>
  <dcterms:created xsi:type="dcterms:W3CDTF">2025-03-20T22:05:00Z</dcterms:created>
  <dcterms:modified xsi:type="dcterms:W3CDTF">2025-03-21T00:19:00Z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0x010100A592709CF3B0DD469CDDDBE57147FD28</vt:lpwstr>
  </property>
  <property fmtid="{D5CDD505-2E9C-101B-9397-08002B2CF9AE}" pid="3" name="MediaServiceImageTags">
    <vt:lpwstr/>
  </property>
</Properties>
</file>