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54EE9" w14:textId="77777777" w:rsidR="00B51191" w:rsidRPr="00CA68A7" w:rsidRDefault="00000000" w:rsidP="00102162">
      <w:pPr>
        <w:pStyle w:val="Heading1"/>
        <w:pageBreakBefore/>
        <w:spacing w:after="0"/>
        <w:rPr>
          <w:rFonts w:ascii="Public Sans" w:hAnsi="Public Sans"/>
        </w:rPr>
      </w:pPr>
      <w:bookmarkStart w:id="0" w:name="id4858321"/>
      <w:r w:rsidRPr="00CA68A7">
        <w:rPr>
          <w:rFonts w:ascii="Public Sans" w:hAnsi="Public Sans"/>
        </w:rPr>
        <w:t>1.0 BORDER FENCE MANAGEMENT</w:t>
      </w:r>
      <w:bookmarkEnd w:id="0"/>
    </w:p>
    <w:p w14:paraId="6E71013B" w14:textId="77777777" w:rsidR="00B51191" w:rsidRPr="00CA68A7" w:rsidRDefault="00000000" w:rsidP="00102162">
      <w:pPr>
        <w:spacing w:after="0"/>
        <w:rPr>
          <w:rFonts w:ascii="Public Sans" w:hAnsi="Public Sans"/>
        </w:rPr>
      </w:pPr>
      <w:r w:rsidRPr="00CA68A7">
        <w:rPr>
          <w:rFonts w:ascii="Public Sans" w:hAnsi="Public Sans"/>
        </w:rPr>
        <w:t>The function of managing the dog proof fence to exclude wild dogs from grazing lands of the Western Division of NSW.</w:t>
      </w:r>
    </w:p>
    <w:p w14:paraId="0049244E" w14:textId="77777777" w:rsidR="00B51191" w:rsidRPr="00CA68A7" w:rsidRDefault="00000000" w:rsidP="00102162">
      <w:pPr>
        <w:spacing w:after="0"/>
        <w:rPr>
          <w:rFonts w:ascii="Public Sans" w:hAnsi="Public Sans"/>
        </w:rPr>
      </w:pPr>
      <w:r w:rsidRPr="00CA68A7">
        <w:rPr>
          <w:rFonts w:ascii="Public Sans" w:hAnsi="Public Sans"/>
        </w:rPr>
        <w:t xml:space="preserve">Includes </w:t>
      </w:r>
      <w:proofErr w:type="gramStart"/>
      <w:r w:rsidRPr="00CA68A7">
        <w:rPr>
          <w:rFonts w:ascii="Public Sans" w:hAnsi="Public Sans"/>
        </w:rPr>
        <w:t>taking action</w:t>
      </w:r>
      <w:proofErr w:type="gramEnd"/>
      <w:r w:rsidRPr="00CA68A7">
        <w:rPr>
          <w:rFonts w:ascii="Public Sans" w:hAnsi="Public Sans"/>
        </w:rPr>
        <w:t xml:space="preserve"> against landholders and other offenders not complying with regulations.</w:t>
      </w:r>
    </w:p>
    <w:p w14:paraId="11027F28" w14:textId="77777777" w:rsidR="00B51191" w:rsidRPr="00CA68A7" w:rsidRDefault="00000000" w:rsidP="00102162">
      <w:pPr>
        <w:spacing w:after="0"/>
        <w:rPr>
          <w:rFonts w:ascii="Public Sans" w:hAnsi="Public Sans"/>
        </w:rPr>
      </w:pPr>
      <w:r w:rsidRPr="00CA68A7">
        <w:rPr>
          <w:rFonts w:ascii="Public Sans" w:hAnsi="Public Sans"/>
        </w:rPr>
        <w:t xml:space="preserve">See Functional Retention and Disposal Authority </w:t>
      </w:r>
      <w:r w:rsidRPr="00CA68A7">
        <w:rPr>
          <w:rFonts w:ascii="Public Sans" w:hAnsi="Public Sans"/>
          <w:i/>
        </w:rPr>
        <w:t xml:space="preserve">Local </w:t>
      </w:r>
      <w:proofErr w:type="gramStart"/>
      <w:r w:rsidRPr="00CA68A7">
        <w:rPr>
          <w:rFonts w:ascii="Public Sans" w:hAnsi="Public Sans"/>
          <w:i/>
        </w:rPr>
        <w:t>land</w:t>
      </w:r>
      <w:proofErr w:type="gramEnd"/>
      <w:r w:rsidRPr="00CA68A7">
        <w:rPr>
          <w:rFonts w:ascii="Public Sans" w:hAnsi="Public Sans"/>
          <w:i/>
        </w:rPr>
        <w:t xml:space="preserve"> Services </w:t>
      </w:r>
      <w:r w:rsidRPr="00CA68A7">
        <w:rPr>
          <w:rFonts w:ascii="Public Sans" w:hAnsi="Public Sans"/>
        </w:rPr>
        <w:t>for records relating to the management of wild dog control programs.</w:t>
      </w:r>
    </w:p>
    <w:p w14:paraId="27D4EB90" w14:textId="77777777" w:rsidR="00B51191" w:rsidRPr="00CA68A7" w:rsidRDefault="00000000" w:rsidP="00102162">
      <w:pPr>
        <w:spacing w:after="0"/>
        <w:rPr>
          <w:rFonts w:ascii="Public Sans" w:hAnsi="Public Sans"/>
        </w:rPr>
      </w:pPr>
      <w:r w:rsidRPr="00CA68A7">
        <w:rPr>
          <w:rFonts w:ascii="Public Sans" w:hAnsi="Public Sans"/>
        </w:rPr>
        <w:t xml:space="preserve">See Functional Retention and Disposal Authority </w:t>
      </w:r>
      <w:r w:rsidRPr="00CA68A7">
        <w:rPr>
          <w:rFonts w:ascii="Public Sans" w:hAnsi="Public Sans"/>
          <w:i/>
        </w:rPr>
        <w:t xml:space="preserve">National parks and wildlife </w:t>
      </w:r>
      <w:r w:rsidRPr="00CA68A7">
        <w:rPr>
          <w:rFonts w:ascii="Public Sans" w:hAnsi="Public Sans"/>
          <w:b/>
        </w:rPr>
        <w:t xml:space="preserve">AUTHORISATION </w:t>
      </w:r>
      <w:r w:rsidRPr="00CA68A7">
        <w:rPr>
          <w:rFonts w:ascii="Public Sans" w:hAnsi="Public Sans"/>
        </w:rPr>
        <w:t>1.2.3 for records relating to permits to keep dingos</w:t>
      </w:r>
    </w:p>
    <w:p w14:paraId="2E5DC6D7"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CONTRACTING-OUT </w:t>
      </w:r>
      <w:r w:rsidRPr="00CA68A7">
        <w:rPr>
          <w:rFonts w:ascii="Public Sans" w:hAnsi="Public Sans"/>
        </w:rPr>
        <w:t>for records relating to the contracting-out or outsourcing of construction work including contracts.</w:t>
      </w:r>
    </w:p>
    <w:p w14:paraId="5EA1F5C1"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GOVERNMENT RELATIONS - Agreements </w:t>
      </w:r>
      <w:r w:rsidRPr="00CA68A7">
        <w:rPr>
          <w:rFonts w:ascii="Public Sans" w:hAnsi="Public Sans"/>
        </w:rPr>
        <w:t>for records relating to agreement with other governments in relation to the construction and maintenance of the dog proof fence.</w:t>
      </w:r>
    </w:p>
    <w:p w14:paraId="065DCA2E"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LEGAL SERVICES - Litigation </w:t>
      </w:r>
      <w:r w:rsidRPr="00CA68A7">
        <w:rPr>
          <w:rFonts w:ascii="Public Sans" w:hAnsi="Public Sans"/>
        </w:rPr>
        <w:t>for records relating to managing lawsuits or legal proceedings between the organisation and other parties in a court or other tribunal.</w:t>
      </w:r>
    </w:p>
    <w:p w14:paraId="5721EAC0"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OCCUPATIONAL HEALTH &amp; SAFETY - Compliance </w:t>
      </w:r>
      <w:r w:rsidRPr="00CA68A7">
        <w:rPr>
          <w:rFonts w:ascii="Public Sans" w:hAnsi="Public Sans"/>
        </w:rPr>
        <w:t>for records relating to poisons used to control weeds.</w:t>
      </w:r>
    </w:p>
    <w:p w14:paraId="4B37AFC0"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PROPERTY MANAGEMENT </w:t>
      </w:r>
      <w:r w:rsidRPr="00CA68A7">
        <w:rPr>
          <w:rFonts w:ascii="Public Sans" w:hAnsi="Public Sans"/>
        </w:rPr>
        <w:t>for records relating to the erection, management and leasing-out of the boundary rider cottages.</w:t>
      </w:r>
    </w:p>
    <w:p w14:paraId="325E3716"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PROPERTY MANAGEMENT - Conservation </w:t>
      </w:r>
      <w:r w:rsidRPr="00CA68A7">
        <w:rPr>
          <w:rFonts w:ascii="Public Sans" w:hAnsi="Public Sans"/>
        </w:rPr>
        <w:t>for records relating to the remediation of contaminated land and the conservation of Aboriginal sites.</w:t>
      </w:r>
    </w:p>
    <w:p w14:paraId="637414C4"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PROPERTY MANAGEMENT - Construction </w:t>
      </w:r>
      <w:r w:rsidRPr="00CA68A7">
        <w:rPr>
          <w:rFonts w:ascii="Public Sans" w:hAnsi="Public Sans"/>
        </w:rPr>
        <w:t xml:space="preserve">for records relating to minor works, project management of construction </w:t>
      </w:r>
      <w:proofErr w:type="gramStart"/>
      <w:r w:rsidRPr="00CA68A7">
        <w:rPr>
          <w:rFonts w:ascii="Public Sans" w:hAnsi="Public Sans"/>
        </w:rPr>
        <w:t>works</w:t>
      </w:r>
      <w:proofErr w:type="gramEnd"/>
      <w:r w:rsidRPr="00CA68A7">
        <w:rPr>
          <w:rFonts w:ascii="Public Sans" w:hAnsi="Public Sans"/>
        </w:rPr>
        <w:t xml:space="preserve"> and the identification and management of hazardous materials (such as asbestos) used or encountered in construction work.</w:t>
      </w:r>
    </w:p>
    <w:p w14:paraId="774D91DF"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PROPERTY MANAGEMENT - Maintenance </w:t>
      </w:r>
      <w:r w:rsidRPr="00CA68A7">
        <w:rPr>
          <w:rFonts w:ascii="Public Sans" w:hAnsi="Public Sans"/>
        </w:rPr>
        <w:t>for records relating to routine maintenance such as painting, cleaning, maintenance etc</w:t>
      </w:r>
    </w:p>
    <w:p w14:paraId="75E1FCB6"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PROPERTY MANAGEMENT - Planning </w:t>
      </w:r>
      <w:r w:rsidRPr="00CA68A7">
        <w:rPr>
          <w:rFonts w:ascii="Public Sans" w:hAnsi="Public Sans"/>
        </w:rPr>
        <w:t>for records relating to the planning of construction programs.</w:t>
      </w:r>
    </w:p>
    <w:p w14:paraId="79A8D71D"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TENDERING </w:t>
      </w:r>
      <w:r w:rsidRPr="00CA68A7">
        <w:rPr>
          <w:rFonts w:ascii="Public Sans" w:hAnsi="Public Sans"/>
        </w:rPr>
        <w:t>for records relating to receiving and assessing tenders for construction work.</w:t>
      </w:r>
    </w:p>
    <w:p w14:paraId="5D515D42" w14:textId="77777777" w:rsidR="00B51191" w:rsidRPr="00CA68A7" w:rsidRDefault="00B51191" w:rsidP="00102162">
      <w:pPr>
        <w:spacing w:before="0" w:after="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B51191" w:rsidRPr="00CA68A7" w14:paraId="69035669" w14:textId="77777777" w:rsidTr="00CA68A7">
        <w:trPr>
          <w:jc w:val="center"/>
        </w:trPr>
        <w:tc>
          <w:tcPr>
            <w:tcW w:w="992" w:type="dxa"/>
            <w:shd w:val="clear" w:color="auto" w:fill="F2F2F2" w:themeFill="background1" w:themeFillShade="F2"/>
          </w:tcPr>
          <w:p w14:paraId="15739235" w14:textId="77777777" w:rsidR="00B51191" w:rsidRPr="00CA68A7" w:rsidRDefault="00000000" w:rsidP="00102162">
            <w:pPr>
              <w:spacing w:after="0"/>
              <w:rPr>
                <w:rFonts w:ascii="Public Sans" w:hAnsi="Public Sans"/>
              </w:rPr>
            </w:pPr>
            <w:r w:rsidRPr="00CA68A7">
              <w:rPr>
                <w:rFonts w:ascii="Public Sans" w:hAnsi="Public Sans"/>
              </w:rPr>
              <w:t>1.1</w:t>
            </w:r>
          </w:p>
          <w:p w14:paraId="0DBCBDF2" w14:textId="77777777" w:rsidR="00B51191" w:rsidRPr="00CA68A7" w:rsidRDefault="00000000" w:rsidP="00102162">
            <w:pPr>
              <w:spacing w:after="0"/>
              <w:rPr>
                <w:rFonts w:ascii="Public Sans" w:hAnsi="Public Sans"/>
              </w:rPr>
            </w:pPr>
            <w:r w:rsidRPr="00CA68A7">
              <w:rPr>
                <w:rStyle w:val="HiddenChar"/>
                <w:rFonts w:ascii="Public Sans" w:hAnsi="Public Sans"/>
              </w:rPr>
              <w:t>BORDER FENCE MANAGEMENT</w:t>
            </w:r>
          </w:p>
        </w:tc>
        <w:tc>
          <w:tcPr>
            <w:tcW w:w="5812" w:type="dxa"/>
            <w:shd w:val="clear" w:color="auto" w:fill="F2F2F2" w:themeFill="background1" w:themeFillShade="F2"/>
          </w:tcPr>
          <w:p w14:paraId="1CCF935B" w14:textId="77777777" w:rsidR="00B51191" w:rsidRPr="00CA68A7" w:rsidRDefault="00000000" w:rsidP="00102162">
            <w:pPr>
              <w:spacing w:after="0"/>
              <w:rPr>
                <w:rFonts w:ascii="Public Sans" w:hAnsi="Public Sans"/>
              </w:rPr>
            </w:pPr>
            <w:r w:rsidRPr="00CA68A7">
              <w:rPr>
                <w:rFonts w:ascii="Public Sans" w:hAnsi="Public Sans"/>
              </w:rPr>
              <w:t>Key records relating to the design, construction, major renovation or restoration of the dog proof fence, e.g. building and development applications and supporting documents, plans/designs, specifications, photographs, drawings etc.</w:t>
            </w:r>
          </w:p>
        </w:tc>
        <w:tc>
          <w:tcPr>
            <w:tcW w:w="2268" w:type="dxa"/>
            <w:shd w:val="clear" w:color="auto" w:fill="F2F2F2" w:themeFill="background1" w:themeFillShade="F2"/>
          </w:tcPr>
          <w:p w14:paraId="6254C480" w14:textId="77777777" w:rsidR="00B51191" w:rsidRPr="00CA68A7" w:rsidRDefault="00000000" w:rsidP="00102162">
            <w:pPr>
              <w:spacing w:after="0"/>
              <w:rPr>
                <w:rFonts w:ascii="Public Sans" w:hAnsi="Public Sans"/>
              </w:rPr>
            </w:pPr>
            <w:r w:rsidRPr="00CA68A7">
              <w:rPr>
                <w:rFonts w:ascii="Public Sans" w:hAnsi="Public Sans"/>
              </w:rPr>
              <w:t>Required as State archives</w:t>
            </w:r>
          </w:p>
        </w:tc>
      </w:tr>
      <w:tr w:rsidR="00B51191" w:rsidRPr="00CA68A7" w14:paraId="0B92D27F" w14:textId="77777777">
        <w:trPr>
          <w:jc w:val="center"/>
        </w:trPr>
        <w:tc>
          <w:tcPr>
            <w:tcW w:w="9072" w:type="dxa"/>
            <w:gridSpan w:val="3"/>
          </w:tcPr>
          <w:p w14:paraId="4016FA46" w14:textId="34DC6D3D" w:rsidR="00B51191" w:rsidRPr="00CA68A7" w:rsidRDefault="00CA68A7" w:rsidP="00102162">
            <w:pPr>
              <w:spacing w:after="0"/>
              <w:rPr>
                <w:rFonts w:ascii="Public Sans" w:hAnsi="Public Sans"/>
              </w:rPr>
            </w:pPr>
            <w:r>
              <w:rPr>
                <w:rFonts w:ascii="Public Sans" w:hAnsi="Public Sans"/>
                <w:b/>
              </w:rPr>
              <w:t>Basis for decision</w:t>
            </w:r>
          </w:p>
          <w:p w14:paraId="4C8C1A22" w14:textId="1B8BA81F" w:rsidR="00B51191" w:rsidRPr="00CA68A7" w:rsidRDefault="00000000" w:rsidP="00102162">
            <w:pPr>
              <w:spacing w:after="0"/>
              <w:rPr>
                <w:rFonts w:ascii="Public Sans" w:hAnsi="Public Sans"/>
              </w:rPr>
            </w:pPr>
            <w:sdt>
              <w:sdtPr>
                <w:rPr>
                  <w:rFonts w:ascii="Public Sans" w:hAnsi="Public Sans"/>
                </w:rPr>
                <w:id w:val="-254202992"/>
                <w14:checkbox>
                  <w14:checked w14:val="1"/>
                  <w14:checkedState w14:val="2612" w14:font="MS Gothic"/>
                  <w14:uncheckedState w14:val="2610" w14:font="MS Gothic"/>
                </w14:checkbox>
              </w:sdtPr>
              <w:sdtContent>
                <w:r w:rsidR="004A1B92">
                  <w:rPr>
                    <w:rFonts w:ascii="MS Gothic" w:eastAsia="MS Gothic" w:hAnsi="MS Gothic" w:hint="eastAsia"/>
                  </w:rPr>
                  <w:t>☒</w:t>
                </w:r>
              </w:sdtContent>
            </w:sdt>
            <w:r w:rsidR="004A1B92">
              <w:rPr>
                <w:rFonts w:ascii="Public Sans" w:hAnsi="Public Sans"/>
              </w:rPr>
              <w:t xml:space="preserve"> </w:t>
            </w:r>
            <w:r w:rsidR="004A1B92" w:rsidRPr="00CA68A7">
              <w:rPr>
                <w:rFonts w:ascii="Public Sans" w:hAnsi="Public Sans"/>
                <w:b/>
                <w:bCs/>
              </w:rPr>
              <w:t>Building the archives policy:</w:t>
            </w:r>
            <w:r w:rsidR="004A1B92" w:rsidRPr="00CA68A7">
              <w:rPr>
                <w:rFonts w:ascii="Public Sans" w:hAnsi="Public Sans"/>
              </w:rPr>
              <w:t xml:space="preserve"> Objective 4. Records relate to places of significance to the broader community and the State of NSW.</w:t>
            </w:r>
          </w:p>
          <w:p w14:paraId="35D367DD" w14:textId="3EBA8EC7" w:rsidR="00B51191" w:rsidRPr="00CA68A7" w:rsidRDefault="00000000" w:rsidP="00102162">
            <w:pPr>
              <w:spacing w:after="0"/>
              <w:rPr>
                <w:rFonts w:ascii="Public Sans" w:hAnsi="Public Sans"/>
              </w:rPr>
            </w:pPr>
            <w:sdt>
              <w:sdtPr>
                <w:rPr>
                  <w:rFonts w:ascii="Public Sans" w:hAnsi="Public Sans"/>
                </w:rPr>
                <w:id w:val="-509213475"/>
                <w14:checkbox>
                  <w14:checked w14:val="1"/>
                  <w14:checkedState w14:val="2612" w14:font="MS Gothic"/>
                  <w14:uncheckedState w14:val="2610" w14:font="MS Gothic"/>
                </w14:checkbox>
              </w:sdtPr>
              <w:sdtContent>
                <w:r w:rsidR="004A1B92" w:rsidRPr="004A1B92">
                  <w:rPr>
                    <w:rFonts w:ascii="MS Gothic" w:eastAsia="MS Gothic" w:hAnsi="MS Gothic" w:hint="eastAsia"/>
                  </w:rPr>
                  <w:t>☒</w:t>
                </w:r>
              </w:sdtContent>
            </w:sdt>
            <w:r w:rsidR="004A1B92" w:rsidRPr="00CA68A7">
              <w:rPr>
                <w:rFonts w:ascii="Public Sans" w:hAnsi="Public Sans"/>
                <w:b/>
                <w:bCs/>
              </w:rPr>
              <w:t xml:space="preserve"> Precedent:</w:t>
            </w:r>
            <w:r w:rsidR="004A1B92" w:rsidRPr="00CA68A7">
              <w:rPr>
                <w:rFonts w:ascii="Public Sans" w:hAnsi="Public Sans"/>
              </w:rPr>
              <w:t xml:space="preserve"> Confirms Board decision of 2008.</w:t>
            </w:r>
          </w:p>
          <w:p w14:paraId="0A445724" w14:textId="5E3899A7" w:rsidR="00B51191" w:rsidRPr="00CA68A7" w:rsidRDefault="00000000" w:rsidP="00102162">
            <w:pPr>
              <w:spacing w:after="0"/>
              <w:rPr>
                <w:rFonts w:ascii="Public Sans" w:hAnsi="Public Sans"/>
              </w:rPr>
            </w:pPr>
            <w:sdt>
              <w:sdtPr>
                <w:rPr>
                  <w:rFonts w:ascii="Public Sans" w:hAnsi="Public Sans"/>
                </w:rPr>
                <w:id w:val="-1013762619"/>
                <w14:checkbox>
                  <w14:checked w14:val="1"/>
                  <w14:checkedState w14:val="2612" w14:font="MS Gothic"/>
                  <w14:uncheckedState w14:val="2610" w14:font="MS Gothic"/>
                </w14:checkbox>
              </w:sdtPr>
              <w:sdtContent>
                <w:r w:rsidR="004A1B92" w:rsidRPr="004A1B92">
                  <w:rPr>
                    <w:rFonts w:ascii="MS Gothic" w:eastAsia="MS Gothic" w:hAnsi="MS Gothic" w:hint="eastAsia"/>
                  </w:rPr>
                  <w:t>☒</w:t>
                </w:r>
              </w:sdtContent>
            </w:sdt>
            <w:r w:rsidR="004A1B92" w:rsidRPr="00CA68A7">
              <w:rPr>
                <w:rFonts w:ascii="Public Sans" w:hAnsi="Public Sans"/>
                <w:b/>
                <w:bCs/>
              </w:rPr>
              <w:t xml:space="preserve"> Benchmark:</w:t>
            </w:r>
            <w:r w:rsidR="004A1B92" w:rsidRPr="00CA68A7">
              <w:rPr>
                <w:rFonts w:ascii="Public Sans" w:hAnsi="Public Sans"/>
              </w:rPr>
              <w:t xml:space="preserve"> Consistent with General retention and disposal authority: administrative records (GA28) for design and construction records of landmark structures.</w:t>
            </w:r>
          </w:p>
          <w:p w14:paraId="7ACFA8FC" w14:textId="3E98817B" w:rsidR="00B51191" w:rsidRPr="00CA68A7" w:rsidRDefault="004A1B92" w:rsidP="00102162">
            <w:pPr>
              <w:spacing w:after="0"/>
              <w:rPr>
                <w:rFonts w:ascii="Public Sans" w:hAnsi="Public Sans"/>
              </w:rPr>
            </w:pPr>
            <w:r w:rsidRPr="00CA68A7">
              <w:rPr>
                <w:rFonts w:ascii="Public Sans" w:hAnsi="Public Sans"/>
                <w:b/>
                <w:bCs/>
              </w:rPr>
              <w:t>Justifications/Remarks:</w:t>
            </w:r>
            <w:r w:rsidRPr="00CA68A7">
              <w:rPr>
                <w:rFonts w:ascii="Public Sans" w:hAnsi="Public Sans"/>
              </w:rPr>
              <w:t xml:space="preserve"> No change.</w:t>
            </w:r>
          </w:p>
        </w:tc>
      </w:tr>
      <w:tr w:rsidR="00B51191" w:rsidRPr="00CA68A7" w14:paraId="18F7F2B5" w14:textId="77777777" w:rsidTr="00CA68A7">
        <w:trPr>
          <w:jc w:val="center"/>
        </w:trPr>
        <w:tc>
          <w:tcPr>
            <w:tcW w:w="992" w:type="dxa"/>
            <w:shd w:val="clear" w:color="auto" w:fill="F2F2F2" w:themeFill="background1" w:themeFillShade="F2"/>
          </w:tcPr>
          <w:p w14:paraId="1AA20ADC" w14:textId="77777777" w:rsidR="00B51191" w:rsidRPr="00CA68A7" w:rsidRDefault="00000000" w:rsidP="00102162">
            <w:pPr>
              <w:spacing w:after="0"/>
              <w:rPr>
                <w:rFonts w:ascii="Public Sans" w:hAnsi="Public Sans"/>
              </w:rPr>
            </w:pPr>
            <w:r w:rsidRPr="00CA68A7">
              <w:rPr>
                <w:rFonts w:ascii="Public Sans" w:hAnsi="Public Sans"/>
              </w:rPr>
              <w:lastRenderedPageBreak/>
              <w:t>1.2</w:t>
            </w:r>
          </w:p>
          <w:p w14:paraId="558760A7" w14:textId="77777777" w:rsidR="00B51191" w:rsidRPr="00CA68A7" w:rsidRDefault="00000000" w:rsidP="00102162">
            <w:pPr>
              <w:spacing w:after="0"/>
              <w:rPr>
                <w:rFonts w:ascii="Public Sans" w:hAnsi="Public Sans"/>
              </w:rPr>
            </w:pPr>
            <w:r w:rsidRPr="00CA68A7">
              <w:rPr>
                <w:rStyle w:val="HiddenChar"/>
                <w:rFonts w:ascii="Public Sans" w:hAnsi="Public Sans"/>
              </w:rPr>
              <w:t>BORDER FENCE MANAGEMENT</w:t>
            </w:r>
          </w:p>
        </w:tc>
        <w:tc>
          <w:tcPr>
            <w:tcW w:w="5812" w:type="dxa"/>
            <w:shd w:val="clear" w:color="auto" w:fill="F2F2F2" w:themeFill="background1" w:themeFillShade="F2"/>
          </w:tcPr>
          <w:p w14:paraId="4593D27D" w14:textId="77777777" w:rsidR="00B51191" w:rsidRPr="00CA68A7" w:rsidRDefault="00000000" w:rsidP="00102162">
            <w:pPr>
              <w:spacing w:after="0"/>
              <w:rPr>
                <w:rFonts w:ascii="Public Sans" w:hAnsi="Public Sans"/>
              </w:rPr>
            </w:pPr>
            <w:r w:rsidRPr="00CA68A7">
              <w:rPr>
                <w:rFonts w:ascii="Public Sans" w:hAnsi="Public Sans"/>
              </w:rPr>
              <w:t>Records relating to the granting of easements to the organisation by third parties for the purpose of maintaining the dog proof fence.</w:t>
            </w:r>
          </w:p>
        </w:tc>
        <w:tc>
          <w:tcPr>
            <w:tcW w:w="2268" w:type="dxa"/>
            <w:shd w:val="clear" w:color="auto" w:fill="F2F2F2" w:themeFill="background1" w:themeFillShade="F2"/>
          </w:tcPr>
          <w:p w14:paraId="52FEEDDC" w14:textId="77777777" w:rsidR="00B51191" w:rsidRPr="00CA68A7" w:rsidRDefault="00000000" w:rsidP="00102162">
            <w:pPr>
              <w:spacing w:after="0"/>
              <w:rPr>
                <w:rFonts w:ascii="Public Sans" w:hAnsi="Public Sans"/>
              </w:rPr>
            </w:pPr>
            <w:r w:rsidRPr="00CA68A7">
              <w:rPr>
                <w:rFonts w:ascii="Public Sans" w:hAnsi="Public Sans"/>
              </w:rPr>
              <w:t>Retain minimum of 10 years after cancellation or termination of easement, then destroy</w:t>
            </w:r>
          </w:p>
        </w:tc>
      </w:tr>
      <w:tr w:rsidR="00B51191" w:rsidRPr="00CA68A7" w14:paraId="076F9D83" w14:textId="77777777">
        <w:trPr>
          <w:jc w:val="center"/>
        </w:trPr>
        <w:tc>
          <w:tcPr>
            <w:tcW w:w="9072" w:type="dxa"/>
            <w:gridSpan w:val="3"/>
          </w:tcPr>
          <w:p w14:paraId="7B26BECD" w14:textId="44998012" w:rsidR="00B51191" w:rsidRPr="00CA68A7" w:rsidRDefault="00CA68A7" w:rsidP="00102162">
            <w:pPr>
              <w:spacing w:after="0"/>
              <w:rPr>
                <w:rFonts w:ascii="Public Sans" w:hAnsi="Public Sans"/>
              </w:rPr>
            </w:pPr>
            <w:r>
              <w:rPr>
                <w:rFonts w:ascii="Public Sans" w:hAnsi="Public Sans"/>
                <w:b/>
              </w:rPr>
              <w:t>Basis for decision</w:t>
            </w:r>
          </w:p>
          <w:p w14:paraId="1872AF64" w14:textId="2B4BBE7C" w:rsidR="00B51191" w:rsidRPr="00CA68A7" w:rsidRDefault="00000000" w:rsidP="00102162">
            <w:pPr>
              <w:spacing w:after="0"/>
              <w:rPr>
                <w:rFonts w:ascii="Public Sans" w:hAnsi="Public Sans"/>
              </w:rPr>
            </w:pPr>
            <w:sdt>
              <w:sdtPr>
                <w:rPr>
                  <w:rFonts w:ascii="Public Sans" w:hAnsi="Public Sans"/>
                </w:rPr>
                <w:id w:val="899101511"/>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Precedent:</w:t>
            </w:r>
            <w:r w:rsidR="003A425E" w:rsidRPr="00CA68A7">
              <w:rPr>
                <w:rFonts w:ascii="Public Sans" w:hAnsi="Public Sans"/>
              </w:rPr>
              <w:t xml:space="preserve"> Confirms Board decision of 2008.</w:t>
            </w:r>
          </w:p>
          <w:p w14:paraId="02BF5EFB" w14:textId="08729950" w:rsidR="00B51191" w:rsidRPr="00CA68A7" w:rsidRDefault="00000000" w:rsidP="00102162">
            <w:pPr>
              <w:spacing w:after="0"/>
              <w:rPr>
                <w:rFonts w:ascii="Public Sans" w:hAnsi="Public Sans"/>
              </w:rPr>
            </w:pPr>
            <w:sdt>
              <w:sdtPr>
                <w:rPr>
                  <w:rFonts w:ascii="Public Sans" w:hAnsi="Public Sans"/>
                </w:rPr>
                <w:id w:val="1131443905"/>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 xml:space="preserve">Benchmark: </w:t>
            </w:r>
            <w:r w:rsidR="003A425E" w:rsidRPr="00CA68A7">
              <w:rPr>
                <w:rFonts w:ascii="Public Sans" w:hAnsi="Public Sans"/>
              </w:rPr>
              <w:t xml:space="preserve">Granting of easements retained for 7 years after extinguishment in the General retention and disposal authority: local government records, and for 20 years after extinguishment in the National Parks &amp; Wildlife disposal authority. </w:t>
            </w:r>
          </w:p>
          <w:p w14:paraId="02AB79E3" w14:textId="12C28771" w:rsidR="00B51191" w:rsidRPr="00CA68A7" w:rsidRDefault="003A425E" w:rsidP="00102162">
            <w:pPr>
              <w:spacing w:after="0"/>
              <w:rPr>
                <w:rFonts w:ascii="Public Sans" w:hAnsi="Public Sans"/>
              </w:rPr>
            </w:pPr>
            <w:r w:rsidRPr="003A425E">
              <w:rPr>
                <w:rFonts w:ascii="Public Sans" w:hAnsi="Public Sans"/>
                <w:b/>
                <w:bCs/>
              </w:rPr>
              <w:t>Justification/Remarks:</w:t>
            </w:r>
            <w:r w:rsidRPr="00CA68A7">
              <w:rPr>
                <w:rFonts w:ascii="Public Sans" w:hAnsi="Public Sans"/>
              </w:rPr>
              <w:t xml:space="preserve"> No change. Records are required for a certain </w:t>
            </w:r>
            <w:proofErr w:type="gramStart"/>
            <w:r w:rsidRPr="00CA68A7">
              <w:rPr>
                <w:rFonts w:ascii="Public Sans" w:hAnsi="Public Sans"/>
              </w:rPr>
              <w:t>period of time</w:t>
            </w:r>
            <w:proofErr w:type="gramEnd"/>
            <w:r w:rsidRPr="00CA68A7">
              <w:rPr>
                <w:rFonts w:ascii="Public Sans" w:hAnsi="Public Sans"/>
              </w:rPr>
              <w:t xml:space="preserve"> after easement is cancelled or terminated as evidence the Board had rights to access property.</w:t>
            </w:r>
          </w:p>
        </w:tc>
      </w:tr>
      <w:tr w:rsidR="00B51191" w:rsidRPr="00CA68A7" w14:paraId="0D59B358" w14:textId="77777777" w:rsidTr="00CA68A7">
        <w:trPr>
          <w:jc w:val="center"/>
        </w:trPr>
        <w:tc>
          <w:tcPr>
            <w:tcW w:w="992" w:type="dxa"/>
            <w:shd w:val="clear" w:color="auto" w:fill="F2F2F2" w:themeFill="background1" w:themeFillShade="F2"/>
          </w:tcPr>
          <w:p w14:paraId="5FFA5CDC" w14:textId="77777777" w:rsidR="00B51191" w:rsidRPr="00CA68A7" w:rsidRDefault="00000000" w:rsidP="00102162">
            <w:pPr>
              <w:spacing w:after="0"/>
              <w:rPr>
                <w:rFonts w:ascii="Public Sans" w:hAnsi="Public Sans"/>
              </w:rPr>
            </w:pPr>
            <w:r w:rsidRPr="00CA68A7">
              <w:rPr>
                <w:rFonts w:ascii="Public Sans" w:hAnsi="Public Sans"/>
              </w:rPr>
              <w:t>1.3</w:t>
            </w:r>
          </w:p>
          <w:p w14:paraId="22C957EF" w14:textId="77777777" w:rsidR="00B51191" w:rsidRPr="00CA68A7" w:rsidRDefault="00000000" w:rsidP="00102162">
            <w:pPr>
              <w:spacing w:after="0"/>
              <w:rPr>
                <w:rFonts w:ascii="Public Sans" w:hAnsi="Public Sans"/>
              </w:rPr>
            </w:pPr>
            <w:r w:rsidRPr="00CA68A7">
              <w:rPr>
                <w:rStyle w:val="HiddenChar"/>
                <w:rFonts w:ascii="Public Sans" w:hAnsi="Public Sans"/>
              </w:rPr>
              <w:t>BORDER FENCE MANAGEMENT</w:t>
            </w:r>
          </w:p>
        </w:tc>
        <w:tc>
          <w:tcPr>
            <w:tcW w:w="5812" w:type="dxa"/>
            <w:shd w:val="clear" w:color="auto" w:fill="F2F2F2" w:themeFill="background1" w:themeFillShade="F2"/>
          </w:tcPr>
          <w:p w14:paraId="213F1E54" w14:textId="77777777" w:rsidR="00B51191" w:rsidRPr="00CA68A7" w:rsidRDefault="00000000" w:rsidP="00102162">
            <w:pPr>
              <w:spacing w:after="0"/>
              <w:rPr>
                <w:rFonts w:ascii="Public Sans" w:hAnsi="Public Sans"/>
              </w:rPr>
            </w:pPr>
            <w:r w:rsidRPr="00CA68A7">
              <w:rPr>
                <w:rFonts w:ascii="Public Sans" w:hAnsi="Public Sans"/>
              </w:rPr>
              <w:t>Records relating to operational management of the dog proof fence. Includes:</w:t>
            </w:r>
          </w:p>
          <w:p w14:paraId="0D7B4054"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 xml:space="preserve">consultation and communication with landholders, including informal advice and discussions, notifications of maintenance </w:t>
            </w:r>
            <w:proofErr w:type="gramStart"/>
            <w:r w:rsidRPr="00CA68A7">
              <w:rPr>
                <w:rFonts w:ascii="Public Sans" w:hAnsi="Public Sans"/>
              </w:rPr>
              <w:t>works</w:t>
            </w:r>
            <w:proofErr w:type="gramEnd"/>
            <w:r w:rsidRPr="00CA68A7">
              <w:rPr>
                <w:rFonts w:ascii="Public Sans" w:hAnsi="Public Sans"/>
              </w:rPr>
              <w:t xml:space="preserve"> along the dog proof fence</w:t>
            </w:r>
          </w:p>
          <w:p w14:paraId="4C5F98C0"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measures for the control of weeds and wild dogs along the dog proof fence, including measures taken in conjunction with other authorities such as the National Parks and Wildlife Service, e.g. documentation of method of control, dates control undertaken, records of effectiveness of control and neighbour notification notices.</w:t>
            </w:r>
          </w:p>
          <w:p w14:paraId="0A73ED79"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control and use of vehicle access ways along the dog proof fence, e.g. requests for permission to travel along the dog proof fence and responses to those requests</w:t>
            </w:r>
          </w:p>
          <w:p w14:paraId="1C69E7C4"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minor construction works</w:t>
            </w:r>
          </w:p>
          <w:p w14:paraId="25ED1582"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brochures, posters, training materials etc.</w:t>
            </w:r>
          </w:p>
          <w:p w14:paraId="135EE4C3"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detailed advice provided to the public</w:t>
            </w:r>
          </w:p>
          <w:p w14:paraId="3A7AB9B9"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issuing of notices for breaches of legislation, e.g. investigations, copies of notices, copies of fines issued, correspondence, etc.</w:t>
            </w:r>
          </w:p>
          <w:p w14:paraId="1133C07B" w14:textId="77777777" w:rsidR="00B51191" w:rsidRPr="00CA68A7" w:rsidRDefault="00000000" w:rsidP="00102162">
            <w:pPr>
              <w:spacing w:after="0"/>
              <w:rPr>
                <w:rFonts w:ascii="Public Sans" w:hAnsi="Public Sans"/>
              </w:rPr>
            </w:pPr>
            <w:r w:rsidRPr="00CA68A7">
              <w:rPr>
                <w:rFonts w:ascii="Public Sans" w:hAnsi="Public Sans"/>
                <w:b/>
              </w:rPr>
              <w:t xml:space="preserve">Note: </w:t>
            </w:r>
            <w:r w:rsidRPr="00CA68A7">
              <w:rPr>
                <w:rFonts w:ascii="Public Sans" w:hAnsi="Public Sans"/>
              </w:rPr>
              <w:t xml:space="preserve">this entry covers the use of non-residual chemicals. If chemicals are used where there is a risk to employees use </w:t>
            </w:r>
            <w:r w:rsidRPr="00CA68A7">
              <w:rPr>
                <w:rFonts w:ascii="Public Sans" w:hAnsi="Public Sans"/>
                <w:i/>
              </w:rPr>
              <w:t xml:space="preserve">General retention and disposal authority: administrative records: </w:t>
            </w:r>
            <w:r w:rsidRPr="00CA68A7">
              <w:rPr>
                <w:rFonts w:ascii="Public Sans" w:hAnsi="Public Sans"/>
              </w:rPr>
              <w:t>OCCUPATIONAL HEALTH &amp; SAFETY – Risk management.</w:t>
            </w:r>
          </w:p>
        </w:tc>
        <w:tc>
          <w:tcPr>
            <w:tcW w:w="2268" w:type="dxa"/>
            <w:shd w:val="clear" w:color="auto" w:fill="F2F2F2" w:themeFill="background1" w:themeFillShade="F2"/>
          </w:tcPr>
          <w:p w14:paraId="096BF319" w14:textId="77777777" w:rsidR="00B51191" w:rsidRPr="00CA68A7" w:rsidRDefault="00000000" w:rsidP="00102162">
            <w:pPr>
              <w:spacing w:after="0"/>
              <w:rPr>
                <w:rFonts w:ascii="Public Sans" w:hAnsi="Public Sans"/>
              </w:rPr>
            </w:pPr>
            <w:r w:rsidRPr="00CA68A7">
              <w:rPr>
                <w:rFonts w:ascii="Public Sans" w:hAnsi="Public Sans"/>
              </w:rPr>
              <w:t>Retain minimum of 7 years after action completed, then destroy</w:t>
            </w:r>
          </w:p>
        </w:tc>
      </w:tr>
      <w:tr w:rsidR="00B51191" w:rsidRPr="00CA68A7" w14:paraId="31D5480E" w14:textId="77777777">
        <w:trPr>
          <w:jc w:val="center"/>
        </w:trPr>
        <w:tc>
          <w:tcPr>
            <w:tcW w:w="9072" w:type="dxa"/>
            <w:gridSpan w:val="3"/>
          </w:tcPr>
          <w:p w14:paraId="4541DF5B" w14:textId="6F24302F" w:rsidR="00B51191" w:rsidRPr="00CA68A7" w:rsidRDefault="00CA68A7" w:rsidP="00102162">
            <w:pPr>
              <w:spacing w:after="0"/>
              <w:rPr>
                <w:rFonts w:ascii="Public Sans" w:hAnsi="Public Sans"/>
              </w:rPr>
            </w:pPr>
            <w:r>
              <w:rPr>
                <w:rFonts w:ascii="Public Sans" w:hAnsi="Public Sans"/>
                <w:b/>
              </w:rPr>
              <w:lastRenderedPageBreak/>
              <w:t>Basis for decision</w:t>
            </w:r>
          </w:p>
          <w:p w14:paraId="0B227C3B" w14:textId="488F5051" w:rsidR="00B51191" w:rsidRPr="00CA68A7" w:rsidRDefault="00000000" w:rsidP="00102162">
            <w:pPr>
              <w:spacing w:after="0"/>
              <w:rPr>
                <w:rFonts w:ascii="Public Sans" w:hAnsi="Public Sans"/>
              </w:rPr>
            </w:pPr>
            <w:sdt>
              <w:sdtPr>
                <w:rPr>
                  <w:rFonts w:ascii="Public Sans" w:hAnsi="Public Sans"/>
                </w:rPr>
                <w:id w:val="-1884012983"/>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Precedent:</w:t>
            </w:r>
            <w:r w:rsidR="003A425E" w:rsidRPr="00CA68A7">
              <w:rPr>
                <w:rFonts w:ascii="Public Sans" w:hAnsi="Public Sans"/>
              </w:rPr>
              <w:t xml:space="preserve"> Consistent with the General retention and disposal authority: local government records for issue of notices, minor construction works and advice. Consistent with Local Land Services for liaison and advice. Control of weeds and pests are retained for 2 years in the General retention and disposal authority: administrative records (GA28).</w:t>
            </w:r>
          </w:p>
          <w:p w14:paraId="45049290" w14:textId="6DFC1047" w:rsidR="00B51191" w:rsidRPr="003A425E" w:rsidRDefault="00000000" w:rsidP="00102162">
            <w:pPr>
              <w:spacing w:after="0"/>
              <w:rPr>
                <w:rFonts w:ascii="Public Sans" w:hAnsi="Public Sans"/>
                <w:b/>
                <w:bCs/>
              </w:rPr>
            </w:pPr>
            <w:sdt>
              <w:sdtPr>
                <w:rPr>
                  <w:rFonts w:ascii="Public Sans" w:hAnsi="Public Sans"/>
                </w:rPr>
                <w:id w:val="349220488"/>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Benchmark:</w:t>
            </w:r>
          </w:p>
          <w:p w14:paraId="5B7781D1"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Consistent with Tasmania.</w:t>
            </w:r>
          </w:p>
          <w:p w14:paraId="12BC1129"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South Australia retains for between 6 and 10 years after action completed.</w:t>
            </w:r>
          </w:p>
          <w:p w14:paraId="53EB0A64"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 xml:space="preserve">Northern Territory retains for 4 years after action completed for advice and discussion regarding land management issues. </w:t>
            </w:r>
          </w:p>
          <w:p w14:paraId="7AFA7684" w14:textId="77777777" w:rsidR="00B51191" w:rsidRPr="00CA68A7" w:rsidRDefault="00000000" w:rsidP="00102162">
            <w:pPr>
              <w:numPr>
                <w:ilvl w:val="0"/>
                <w:numId w:val="1"/>
              </w:numPr>
              <w:spacing w:after="0"/>
              <w:rPr>
                <w:rFonts w:ascii="Public Sans" w:hAnsi="Public Sans"/>
              </w:rPr>
            </w:pPr>
            <w:r w:rsidRPr="00CA68A7">
              <w:rPr>
                <w:rFonts w:ascii="Public Sans" w:hAnsi="Public Sans"/>
              </w:rPr>
              <w:t>Queensland retains for 10 years after business completed. Consistent with Queensland relating to destruction orders.</w:t>
            </w:r>
          </w:p>
          <w:p w14:paraId="75A19E23" w14:textId="3A211956" w:rsidR="00B51191" w:rsidRPr="00CA68A7" w:rsidRDefault="003A425E" w:rsidP="00102162">
            <w:pPr>
              <w:spacing w:after="0"/>
              <w:rPr>
                <w:rFonts w:ascii="Public Sans" w:hAnsi="Public Sans"/>
              </w:rPr>
            </w:pPr>
            <w:r w:rsidRPr="003A425E">
              <w:rPr>
                <w:rFonts w:ascii="Public Sans" w:hAnsi="Public Sans"/>
                <w:b/>
                <w:bCs/>
              </w:rPr>
              <w:t>Justifications/Remarks:</w:t>
            </w:r>
            <w:r w:rsidRPr="00CA68A7">
              <w:rPr>
                <w:rFonts w:ascii="Public Sans" w:hAnsi="Public Sans"/>
              </w:rPr>
              <w:t xml:space="preserve"> Previously these records were retained for between 6 and 7 years, or 10 years for vehicle access. To streamline the authority a 7-year retention period has been adopted. This retention period meets the Board's requirements to retain these records as potential evidence relating to dealings or agreements with landholders.</w:t>
            </w:r>
          </w:p>
          <w:p w14:paraId="543C8C0A" w14:textId="77777777" w:rsidR="00B51191" w:rsidRPr="00CA68A7" w:rsidRDefault="00000000" w:rsidP="00102162">
            <w:pPr>
              <w:spacing w:after="0"/>
              <w:rPr>
                <w:rFonts w:ascii="Public Sans" w:hAnsi="Public Sans"/>
              </w:rPr>
            </w:pPr>
            <w:r w:rsidRPr="00CA68A7">
              <w:rPr>
                <w:rFonts w:ascii="Public Sans" w:hAnsi="Public Sans"/>
              </w:rPr>
              <w:t>The monitoring of wild dog control by landowners and the payment of bounties for wild dog scalps are no longer functions undertaken by the Board as they were removed from the Act in 2017. Some legacy records may still exist. The Board’s latest annual reports notes that there were very few sightings of wild dogs along the fence, but baits are laid along the fence to control them.</w:t>
            </w:r>
          </w:p>
        </w:tc>
      </w:tr>
    </w:tbl>
    <w:p w14:paraId="5E3A148E" w14:textId="77777777" w:rsidR="00B51191" w:rsidRPr="00CA68A7" w:rsidRDefault="00000000" w:rsidP="00102162">
      <w:pPr>
        <w:pStyle w:val="Heading1"/>
        <w:pageBreakBefore/>
        <w:spacing w:after="0"/>
        <w:rPr>
          <w:rFonts w:ascii="Public Sans" w:hAnsi="Public Sans"/>
        </w:rPr>
      </w:pPr>
      <w:bookmarkStart w:id="1" w:name="id4858660"/>
      <w:r w:rsidRPr="00CA68A7">
        <w:rPr>
          <w:rFonts w:ascii="Public Sans" w:hAnsi="Public Sans"/>
        </w:rPr>
        <w:lastRenderedPageBreak/>
        <w:t>2.0 RATES</w:t>
      </w:r>
      <w:bookmarkEnd w:id="1"/>
    </w:p>
    <w:p w14:paraId="753372C2" w14:textId="77777777" w:rsidR="00B51191" w:rsidRPr="00CA68A7" w:rsidRDefault="00000000" w:rsidP="00102162">
      <w:pPr>
        <w:spacing w:after="0"/>
        <w:rPr>
          <w:rFonts w:ascii="Public Sans" w:hAnsi="Public Sans"/>
        </w:rPr>
      </w:pPr>
      <w:r w:rsidRPr="00CA68A7">
        <w:rPr>
          <w:rFonts w:ascii="Public Sans" w:hAnsi="Public Sans"/>
        </w:rPr>
        <w:t>The function of regulating the rates payable by landholders in the Western Division to the organisation.</w:t>
      </w:r>
    </w:p>
    <w:p w14:paraId="51C68140" w14:textId="77777777" w:rsidR="00B51191" w:rsidRPr="00CA68A7" w:rsidRDefault="00000000" w:rsidP="00102162">
      <w:pPr>
        <w:spacing w:after="0"/>
        <w:rPr>
          <w:rFonts w:ascii="Public Sans" w:hAnsi="Public Sans"/>
        </w:rPr>
      </w:pPr>
      <w:r w:rsidRPr="00CA68A7">
        <w:rPr>
          <w:rFonts w:ascii="Public Sans" w:hAnsi="Public Sans"/>
        </w:rPr>
        <w:t xml:space="preserve">See General Retention and Disposal Authority </w:t>
      </w:r>
      <w:r w:rsidRPr="00CA68A7">
        <w:rPr>
          <w:rFonts w:ascii="Public Sans" w:hAnsi="Public Sans"/>
          <w:i/>
        </w:rPr>
        <w:t xml:space="preserve">Administrative records </w:t>
      </w:r>
      <w:r w:rsidRPr="00CA68A7">
        <w:rPr>
          <w:rFonts w:ascii="Public Sans" w:hAnsi="Public Sans"/>
          <w:b/>
        </w:rPr>
        <w:t xml:space="preserve">FINANCIAL MANAGEMENT - Accounting </w:t>
      </w:r>
      <w:r w:rsidRPr="00CA68A7">
        <w:rPr>
          <w:rFonts w:ascii="Public Sans" w:hAnsi="Public Sans"/>
        </w:rPr>
        <w:t xml:space="preserve">for records relating to the organisation’s </w:t>
      </w:r>
      <w:proofErr w:type="gramStart"/>
      <w:r w:rsidRPr="00CA68A7">
        <w:rPr>
          <w:rFonts w:ascii="Public Sans" w:hAnsi="Public Sans"/>
        </w:rPr>
        <w:t>financial  transactions</w:t>
      </w:r>
      <w:proofErr w:type="gramEnd"/>
      <w:r w:rsidRPr="00CA68A7">
        <w:rPr>
          <w:rFonts w:ascii="Public Sans" w:hAnsi="Public Sans"/>
        </w:rPr>
        <w:t>.</w:t>
      </w:r>
    </w:p>
    <w:p w14:paraId="475948FE" w14:textId="77777777" w:rsidR="00B51191" w:rsidRPr="00CA68A7" w:rsidRDefault="00B51191" w:rsidP="00102162">
      <w:pPr>
        <w:spacing w:before="0" w:after="0"/>
        <w:rPr>
          <w:rFonts w:ascii="Public Sans" w:hAnsi="Public Sans"/>
        </w:rPr>
      </w:pP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B51191" w:rsidRPr="00CA68A7" w14:paraId="2FDA5EA9" w14:textId="77777777" w:rsidTr="00CA68A7">
        <w:trPr>
          <w:jc w:val="center"/>
        </w:trPr>
        <w:tc>
          <w:tcPr>
            <w:tcW w:w="992" w:type="dxa"/>
            <w:shd w:val="clear" w:color="auto" w:fill="F2F2F2" w:themeFill="background1" w:themeFillShade="F2"/>
          </w:tcPr>
          <w:p w14:paraId="475222D2" w14:textId="77777777" w:rsidR="00B51191" w:rsidRPr="00CA68A7" w:rsidRDefault="00000000" w:rsidP="00102162">
            <w:pPr>
              <w:spacing w:after="0"/>
              <w:rPr>
                <w:rFonts w:ascii="Public Sans" w:hAnsi="Public Sans"/>
              </w:rPr>
            </w:pPr>
            <w:r w:rsidRPr="00CA68A7">
              <w:rPr>
                <w:rFonts w:ascii="Public Sans" w:hAnsi="Public Sans"/>
              </w:rPr>
              <w:t>2.1</w:t>
            </w:r>
          </w:p>
          <w:p w14:paraId="350EB75E" w14:textId="77777777" w:rsidR="00B51191" w:rsidRPr="00CA68A7" w:rsidRDefault="00000000" w:rsidP="00102162">
            <w:pPr>
              <w:spacing w:after="0"/>
              <w:rPr>
                <w:rFonts w:ascii="Public Sans" w:hAnsi="Public Sans"/>
              </w:rPr>
            </w:pPr>
            <w:r w:rsidRPr="00CA68A7">
              <w:rPr>
                <w:rStyle w:val="HiddenChar"/>
                <w:rFonts w:ascii="Public Sans" w:hAnsi="Public Sans"/>
              </w:rPr>
              <w:t>RATES</w:t>
            </w:r>
          </w:p>
        </w:tc>
        <w:tc>
          <w:tcPr>
            <w:tcW w:w="5812" w:type="dxa"/>
            <w:shd w:val="clear" w:color="auto" w:fill="F2F2F2" w:themeFill="background1" w:themeFillShade="F2"/>
          </w:tcPr>
          <w:p w14:paraId="109D6C44" w14:textId="77777777" w:rsidR="00B51191" w:rsidRPr="00CA68A7" w:rsidRDefault="00000000" w:rsidP="00102162">
            <w:pPr>
              <w:spacing w:after="0"/>
              <w:rPr>
                <w:rFonts w:ascii="Public Sans" w:hAnsi="Public Sans"/>
              </w:rPr>
            </w:pPr>
            <w:r w:rsidRPr="00CA68A7">
              <w:rPr>
                <w:rFonts w:ascii="Public Sans" w:hAnsi="Public Sans"/>
              </w:rPr>
              <w:t>Records relating to the setting and amendment of rates. This includes the general waiving of rates, for example during periods of drought. Records include investigations and policy determinations, draft rate schedules, and government and community consultation undertaken as part of the process.</w:t>
            </w:r>
          </w:p>
        </w:tc>
        <w:tc>
          <w:tcPr>
            <w:tcW w:w="2268" w:type="dxa"/>
            <w:shd w:val="clear" w:color="auto" w:fill="F2F2F2" w:themeFill="background1" w:themeFillShade="F2"/>
          </w:tcPr>
          <w:p w14:paraId="024F1B63" w14:textId="77777777" w:rsidR="00B51191" w:rsidRPr="00CA68A7" w:rsidRDefault="00000000" w:rsidP="00102162">
            <w:pPr>
              <w:spacing w:after="0"/>
              <w:rPr>
                <w:rFonts w:ascii="Public Sans" w:hAnsi="Public Sans"/>
              </w:rPr>
            </w:pPr>
            <w:r w:rsidRPr="00CA68A7">
              <w:rPr>
                <w:rFonts w:ascii="Public Sans" w:hAnsi="Public Sans"/>
              </w:rPr>
              <w:t>Required as State archives</w:t>
            </w:r>
          </w:p>
        </w:tc>
      </w:tr>
      <w:tr w:rsidR="00B51191" w:rsidRPr="00CA68A7" w14:paraId="225B9A93" w14:textId="77777777">
        <w:trPr>
          <w:jc w:val="center"/>
        </w:trPr>
        <w:tc>
          <w:tcPr>
            <w:tcW w:w="9072" w:type="dxa"/>
            <w:gridSpan w:val="3"/>
          </w:tcPr>
          <w:p w14:paraId="676E4DFD" w14:textId="6D3E6FC3" w:rsidR="00B51191" w:rsidRPr="00CA68A7" w:rsidRDefault="00CA68A7" w:rsidP="00102162">
            <w:pPr>
              <w:spacing w:after="0"/>
              <w:rPr>
                <w:rFonts w:ascii="Public Sans" w:hAnsi="Public Sans"/>
              </w:rPr>
            </w:pPr>
            <w:r>
              <w:rPr>
                <w:rFonts w:ascii="Public Sans" w:hAnsi="Public Sans"/>
                <w:b/>
              </w:rPr>
              <w:t>Basis for decision</w:t>
            </w:r>
          </w:p>
          <w:p w14:paraId="0DB2D687" w14:textId="11A0881B" w:rsidR="00B51191" w:rsidRPr="00CA68A7" w:rsidRDefault="00000000" w:rsidP="00102162">
            <w:pPr>
              <w:spacing w:after="0"/>
              <w:rPr>
                <w:rFonts w:ascii="Public Sans" w:hAnsi="Public Sans"/>
              </w:rPr>
            </w:pPr>
            <w:sdt>
              <w:sdtPr>
                <w:rPr>
                  <w:rFonts w:ascii="Public Sans" w:hAnsi="Public Sans"/>
                </w:rPr>
                <w:id w:val="-271242264"/>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Building the archives:</w:t>
            </w:r>
            <w:r w:rsidR="003A425E" w:rsidRPr="00CA68A7">
              <w:rPr>
                <w:rFonts w:ascii="Public Sans" w:hAnsi="Public Sans"/>
              </w:rPr>
              <w:t xml:space="preserve"> Objective 3. Records are essential for the evidence of fundamental rights and entitlements of individuals within the community regarding the setting of rates.</w:t>
            </w:r>
          </w:p>
          <w:p w14:paraId="20DCB6F0" w14:textId="79B78936" w:rsidR="00B51191" w:rsidRPr="00CA68A7" w:rsidRDefault="00000000" w:rsidP="00102162">
            <w:pPr>
              <w:spacing w:after="0"/>
              <w:rPr>
                <w:rFonts w:ascii="Public Sans" w:hAnsi="Public Sans"/>
              </w:rPr>
            </w:pPr>
            <w:sdt>
              <w:sdtPr>
                <w:rPr>
                  <w:rFonts w:ascii="Public Sans" w:hAnsi="Public Sans"/>
                </w:rPr>
                <w:id w:val="560980124"/>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Precedent:</w:t>
            </w:r>
            <w:r w:rsidR="003A425E" w:rsidRPr="00CA68A7">
              <w:rPr>
                <w:rFonts w:ascii="Public Sans" w:hAnsi="Public Sans"/>
              </w:rPr>
              <w:t xml:space="preserve"> Confirms Board decision of 2008</w:t>
            </w:r>
          </w:p>
          <w:p w14:paraId="4E62CA03" w14:textId="71B0AD51" w:rsidR="00B51191" w:rsidRPr="00CA68A7" w:rsidRDefault="00000000" w:rsidP="00102162">
            <w:pPr>
              <w:spacing w:after="0"/>
              <w:rPr>
                <w:rFonts w:ascii="Public Sans" w:hAnsi="Public Sans"/>
              </w:rPr>
            </w:pPr>
            <w:sdt>
              <w:sdtPr>
                <w:rPr>
                  <w:rFonts w:ascii="Public Sans" w:hAnsi="Public Sans"/>
                </w:rPr>
                <w:id w:val="1224875508"/>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Benchmark:</w:t>
            </w:r>
            <w:r w:rsidR="003A425E" w:rsidRPr="00CA68A7">
              <w:rPr>
                <w:rFonts w:ascii="Public Sans" w:hAnsi="Public Sans"/>
              </w:rPr>
              <w:t xml:space="preserve"> Consistent with the setting of local government rates by IPART.</w:t>
            </w:r>
          </w:p>
          <w:p w14:paraId="3EECB11A" w14:textId="6A02B5F2" w:rsidR="00B51191" w:rsidRPr="00CA68A7" w:rsidRDefault="003A425E" w:rsidP="00102162">
            <w:pPr>
              <w:spacing w:after="0"/>
              <w:rPr>
                <w:rFonts w:ascii="Public Sans" w:hAnsi="Public Sans"/>
              </w:rPr>
            </w:pPr>
            <w:r w:rsidRPr="003A425E">
              <w:rPr>
                <w:rFonts w:ascii="Public Sans" w:hAnsi="Public Sans"/>
                <w:b/>
                <w:bCs/>
              </w:rPr>
              <w:t>Justification/Remarks:</w:t>
            </w:r>
            <w:r w:rsidRPr="00CA68A7">
              <w:rPr>
                <w:rFonts w:ascii="Public Sans" w:hAnsi="Public Sans"/>
              </w:rPr>
              <w:t xml:space="preserve"> No change. These records document issues affecting landholders of the Western Division.</w:t>
            </w:r>
          </w:p>
          <w:p w14:paraId="19530E63" w14:textId="77777777" w:rsidR="00B51191" w:rsidRPr="00CA68A7" w:rsidRDefault="00000000" w:rsidP="00102162">
            <w:pPr>
              <w:spacing w:after="0"/>
              <w:rPr>
                <w:rFonts w:ascii="Public Sans" w:hAnsi="Public Sans"/>
              </w:rPr>
            </w:pPr>
            <w:r w:rsidRPr="00CA68A7">
              <w:rPr>
                <w:rFonts w:ascii="Public Sans" w:hAnsi="Public Sans"/>
              </w:rPr>
              <w:t>Only land in the Western Division where the aggregation of the holding exceeds 1000 hectares is subject to payment of dog rates. The Board sets the annual dog rate having regard to the annual budgeted cost of maintaining the fence, less any contribution from the State Government. For example, in 2021 the NSW Government paid an amount of $429,170.00 to the Border Fence Maintenance Board and landholder rates were set at 5.5 cents per hectare for the 2022 year.</w:t>
            </w:r>
          </w:p>
        </w:tc>
      </w:tr>
      <w:tr w:rsidR="00B51191" w:rsidRPr="00CA68A7" w14:paraId="231C8FDA" w14:textId="77777777" w:rsidTr="00CA68A7">
        <w:trPr>
          <w:jc w:val="center"/>
        </w:trPr>
        <w:tc>
          <w:tcPr>
            <w:tcW w:w="992" w:type="dxa"/>
            <w:shd w:val="clear" w:color="auto" w:fill="F2F2F2" w:themeFill="background1" w:themeFillShade="F2"/>
          </w:tcPr>
          <w:p w14:paraId="2F45AC21" w14:textId="77777777" w:rsidR="00B51191" w:rsidRPr="00CA68A7" w:rsidRDefault="00000000" w:rsidP="00102162">
            <w:pPr>
              <w:spacing w:after="0"/>
              <w:rPr>
                <w:rFonts w:ascii="Public Sans" w:hAnsi="Public Sans"/>
              </w:rPr>
            </w:pPr>
            <w:r w:rsidRPr="00CA68A7">
              <w:rPr>
                <w:rFonts w:ascii="Public Sans" w:hAnsi="Public Sans"/>
              </w:rPr>
              <w:t>2.2</w:t>
            </w:r>
          </w:p>
          <w:p w14:paraId="1EE946B5" w14:textId="77777777" w:rsidR="00B51191" w:rsidRPr="00CA68A7" w:rsidRDefault="00000000" w:rsidP="00102162">
            <w:pPr>
              <w:spacing w:after="0"/>
              <w:rPr>
                <w:rFonts w:ascii="Public Sans" w:hAnsi="Public Sans"/>
              </w:rPr>
            </w:pPr>
            <w:r w:rsidRPr="00CA68A7">
              <w:rPr>
                <w:rStyle w:val="HiddenChar"/>
                <w:rFonts w:ascii="Public Sans" w:hAnsi="Public Sans"/>
              </w:rPr>
              <w:t>RATES</w:t>
            </w:r>
          </w:p>
        </w:tc>
        <w:tc>
          <w:tcPr>
            <w:tcW w:w="5812" w:type="dxa"/>
            <w:shd w:val="clear" w:color="auto" w:fill="F2F2F2" w:themeFill="background1" w:themeFillShade="F2"/>
          </w:tcPr>
          <w:p w14:paraId="764A43A0" w14:textId="77777777" w:rsidR="00B51191" w:rsidRPr="00CA68A7" w:rsidRDefault="00000000" w:rsidP="00102162">
            <w:pPr>
              <w:spacing w:after="0"/>
              <w:rPr>
                <w:rFonts w:ascii="Public Sans" w:hAnsi="Public Sans"/>
              </w:rPr>
            </w:pPr>
            <w:r w:rsidRPr="00CA68A7">
              <w:rPr>
                <w:rFonts w:ascii="Public Sans" w:hAnsi="Public Sans"/>
              </w:rPr>
              <w:t>Records relating to objections to rates or applications for hardship relief, whether successful or unsuccessful. Records include applications and objections, records of internal advice associated with the matter, correspondence with applicants, determinations, and terms of repayment.</w:t>
            </w:r>
          </w:p>
        </w:tc>
        <w:tc>
          <w:tcPr>
            <w:tcW w:w="2268" w:type="dxa"/>
            <w:shd w:val="clear" w:color="auto" w:fill="F2F2F2" w:themeFill="background1" w:themeFillShade="F2"/>
          </w:tcPr>
          <w:p w14:paraId="1A1141F8" w14:textId="77777777" w:rsidR="00B51191" w:rsidRPr="00CA68A7" w:rsidRDefault="00000000" w:rsidP="00102162">
            <w:pPr>
              <w:spacing w:after="0"/>
              <w:rPr>
                <w:rFonts w:ascii="Public Sans" w:hAnsi="Public Sans"/>
              </w:rPr>
            </w:pPr>
            <w:r w:rsidRPr="00CA68A7">
              <w:rPr>
                <w:rFonts w:ascii="Public Sans" w:hAnsi="Public Sans"/>
              </w:rPr>
              <w:t>Retain minimum of 7 years after action completed, then destroy</w:t>
            </w:r>
          </w:p>
        </w:tc>
      </w:tr>
      <w:tr w:rsidR="00B51191" w:rsidRPr="00CA68A7" w14:paraId="7B6ADF98" w14:textId="77777777">
        <w:trPr>
          <w:jc w:val="center"/>
        </w:trPr>
        <w:tc>
          <w:tcPr>
            <w:tcW w:w="9072" w:type="dxa"/>
            <w:gridSpan w:val="3"/>
          </w:tcPr>
          <w:p w14:paraId="19C75FFC" w14:textId="4372F702" w:rsidR="00B51191" w:rsidRPr="00CA68A7" w:rsidRDefault="00CA68A7" w:rsidP="00102162">
            <w:pPr>
              <w:spacing w:after="0"/>
              <w:rPr>
                <w:rFonts w:ascii="Public Sans" w:hAnsi="Public Sans"/>
              </w:rPr>
            </w:pPr>
            <w:r>
              <w:rPr>
                <w:rFonts w:ascii="Public Sans" w:hAnsi="Public Sans"/>
                <w:b/>
              </w:rPr>
              <w:t>Basis for decision</w:t>
            </w:r>
          </w:p>
          <w:p w14:paraId="10BA0C75" w14:textId="0228C9D3" w:rsidR="00B51191" w:rsidRPr="00CA68A7" w:rsidRDefault="00000000" w:rsidP="00102162">
            <w:pPr>
              <w:spacing w:after="0"/>
              <w:rPr>
                <w:rFonts w:ascii="Public Sans" w:hAnsi="Public Sans"/>
              </w:rPr>
            </w:pPr>
            <w:sdt>
              <w:sdtPr>
                <w:rPr>
                  <w:rFonts w:ascii="Public Sans" w:hAnsi="Public Sans"/>
                </w:rPr>
                <w:id w:val="-652755986"/>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Precedent:</w:t>
            </w:r>
            <w:r w:rsidR="003A425E" w:rsidRPr="00CA68A7">
              <w:rPr>
                <w:rFonts w:ascii="Public Sans" w:hAnsi="Public Sans"/>
              </w:rPr>
              <w:t xml:space="preserve"> Confirms Board decision of 2008. Consistent with similar records managed by NSW local government for objections to Council rates.</w:t>
            </w:r>
          </w:p>
          <w:p w14:paraId="4C7CAA09" w14:textId="28E08BC4" w:rsidR="00B51191" w:rsidRPr="00CA68A7" w:rsidRDefault="00000000" w:rsidP="00102162">
            <w:pPr>
              <w:spacing w:after="0"/>
              <w:rPr>
                <w:rFonts w:ascii="Public Sans" w:hAnsi="Public Sans"/>
              </w:rPr>
            </w:pPr>
            <w:sdt>
              <w:sdtPr>
                <w:rPr>
                  <w:rFonts w:ascii="Public Sans" w:hAnsi="Public Sans"/>
                </w:rPr>
                <w:id w:val="1099457491"/>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Benchmark:</w:t>
            </w:r>
            <w:r w:rsidR="003A425E" w:rsidRPr="00CA68A7">
              <w:rPr>
                <w:rFonts w:ascii="Public Sans" w:hAnsi="Public Sans"/>
              </w:rPr>
              <w:t xml:space="preserve"> Tasmania retains for 7 years after action completed for successful applications and 2 years for unsuccessful.</w:t>
            </w:r>
          </w:p>
          <w:p w14:paraId="65940AB0" w14:textId="2D459356" w:rsidR="00B51191" w:rsidRPr="00CA68A7" w:rsidRDefault="003A425E" w:rsidP="00102162">
            <w:pPr>
              <w:spacing w:after="0"/>
              <w:rPr>
                <w:rFonts w:ascii="Public Sans" w:hAnsi="Public Sans"/>
              </w:rPr>
            </w:pPr>
            <w:r w:rsidRPr="003A425E">
              <w:rPr>
                <w:rFonts w:ascii="Public Sans" w:hAnsi="Public Sans"/>
                <w:b/>
                <w:bCs/>
              </w:rPr>
              <w:t>Justification/Remarks:</w:t>
            </w:r>
            <w:r w:rsidRPr="00CA68A7">
              <w:rPr>
                <w:rFonts w:ascii="Public Sans" w:hAnsi="Public Sans"/>
              </w:rPr>
              <w:t xml:space="preserve"> No change. Crown Lands NSW issues the rate notices and undertakes debt recovery on behalf of the Board. These records are covered by the General retention and disposal authority: administrative records and are retained for 7 years.</w:t>
            </w:r>
          </w:p>
        </w:tc>
      </w:tr>
      <w:tr w:rsidR="00B51191" w:rsidRPr="00CA68A7" w14:paraId="709D34AA" w14:textId="77777777" w:rsidTr="00CA68A7">
        <w:trPr>
          <w:jc w:val="center"/>
        </w:trPr>
        <w:tc>
          <w:tcPr>
            <w:tcW w:w="992" w:type="dxa"/>
            <w:shd w:val="clear" w:color="auto" w:fill="F2F2F2" w:themeFill="background1" w:themeFillShade="F2"/>
          </w:tcPr>
          <w:p w14:paraId="4E10CC5E" w14:textId="77777777" w:rsidR="00B51191" w:rsidRPr="00CA68A7" w:rsidRDefault="00000000" w:rsidP="00102162">
            <w:pPr>
              <w:spacing w:after="0"/>
              <w:rPr>
                <w:rFonts w:ascii="Public Sans" w:hAnsi="Public Sans"/>
              </w:rPr>
            </w:pPr>
            <w:r w:rsidRPr="00CA68A7">
              <w:rPr>
                <w:rFonts w:ascii="Public Sans" w:hAnsi="Public Sans"/>
              </w:rPr>
              <w:t>2.3</w:t>
            </w:r>
          </w:p>
          <w:p w14:paraId="757D1F9E" w14:textId="77777777" w:rsidR="00B51191" w:rsidRPr="00CA68A7" w:rsidRDefault="00000000" w:rsidP="00102162">
            <w:pPr>
              <w:spacing w:after="0"/>
              <w:rPr>
                <w:rFonts w:ascii="Public Sans" w:hAnsi="Public Sans"/>
              </w:rPr>
            </w:pPr>
            <w:r w:rsidRPr="00CA68A7">
              <w:rPr>
                <w:rStyle w:val="HiddenChar"/>
                <w:rFonts w:ascii="Public Sans" w:hAnsi="Public Sans"/>
              </w:rPr>
              <w:t>RATES</w:t>
            </w:r>
          </w:p>
        </w:tc>
        <w:tc>
          <w:tcPr>
            <w:tcW w:w="5812" w:type="dxa"/>
            <w:shd w:val="clear" w:color="auto" w:fill="F2F2F2" w:themeFill="background1" w:themeFillShade="F2"/>
          </w:tcPr>
          <w:p w14:paraId="5C32D8B2" w14:textId="77777777" w:rsidR="00B51191" w:rsidRPr="00CA68A7" w:rsidRDefault="00000000" w:rsidP="00102162">
            <w:pPr>
              <w:spacing w:after="0"/>
              <w:rPr>
                <w:rFonts w:ascii="Public Sans" w:hAnsi="Public Sans"/>
              </w:rPr>
            </w:pPr>
            <w:r w:rsidRPr="00CA68A7">
              <w:rPr>
                <w:rFonts w:ascii="Public Sans" w:hAnsi="Public Sans"/>
              </w:rPr>
              <w:t>Records relating to the implementation of rates schedules. Includes records of procedures for the calculation, determination and levying of rates and the issuing of schedules, and reports received from other government agencies on the collection of rates.</w:t>
            </w:r>
          </w:p>
        </w:tc>
        <w:tc>
          <w:tcPr>
            <w:tcW w:w="2268" w:type="dxa"/>
            <w:shd w:val="clear" w:color="auto" w:fill="F2F2F2" w:themeFill="background1" w:themeFillShade="F2"/>
          </w:tcPr>
          <w:p w14:paraId="25B01EE0" w14:textId="77777777" w:rsidR="00B51191" w:rsidRPr="00CA68A7" w:rsidRDefault="00000000" w:rsidP="00102162">
            <w:pPr>
              <w:spacing w:after="0"/>
              <w:rPr>
                <w:rFonts w:ascii="Public Sans" w:hAnsi="Public Sans"/>
              </w:rPr>
            </w:pPr>
            <w:r w:rsidRPr="00CA68A7">
              <w:rPr>
                <w:rFonts w:ascii="Public Sans" w:hAnsi="Public Sans"/>
              </w:rPr>
              <w:t>Retain until superseded, then destroy</w:t>
            </w:r>
          </w:p>
        </w:tc>
      </w:tr>
      <w:tr w:rsidR="00B51191" w:rsidRPr="00CA68A7" w14:paraId="142145C6" w14:textId="77777777">
        <w:trPr>
          <w:jc w:val="center"/>
        </w:trPr>
        <w:tc>
          <w:tcPr>
            <w:tcW w:w="9072" w:type="dxa"/>
            <w:gridSpan w:val="3"/>
          </w:tcPr>
          <w:p w14:paraId="59FA4DED" w14:textId="03992D6B" w:rsidR="00B51191" w:rsidRPr="00CA68A7" w:rsidRDefault="00CA68A7" w:rsidP="00102162">
            <w:pPr>
              <w:spacing w:after="0"/>
              <w:rPr>
                <w:rFonts w:ascii="Public Sans" w:hAnsi="Public Sans"/>
              </w:rPr>
            </w:pPr>
            <w:r>
              <w:rPr>
                <w:rFonts w:ascii="Public Sans" w:hAnsi="Public Sans"/>
                <w:b/>
              </w:rPr>
              <w:t>Basis for decision</w:t>
            </w:r>
          </w:p>
          <w:p w14:paraId="728C53C9" w14:textId="2D5BF07A" w:rsidR="00B51191" w:rsidRPr="00CA68A7" w:rsidRDefault="00000000" w:rsidP="00102162">
            <w:pPr>
              <w:spacing w:after="0"/>
              <w:rPr>
                <w:rFonts w:ascii="Public Sans" w:hAnsi="Public Sans"/>
              </w:rPr>
            </w:pPr>
            <w:sdt>
              <w:sdtPr>
                <w:rPr>
                  <w:rFonts w:ascii="Public Sans" w:hAnsi="Public Sans"/>
                </w:rPr>
                <w:id w:val="-314117543"/>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Precedent:</w:t>
            </w:r>
            <w:r w:rsidR="003A425E" w:rsidRPr="00CA68A7">
              <w:rPr>
                <w:rFonts w:ascii="Public Sans" w:hAnsi="Public Sans"/>
              </w:rPr>
              <w:t xml:space="preserve"> Confirms Board decision of 2008.</w:t>
            </w:r>
          </w:p>
          <w:p w14:paraId="0C774C4B" w14:textId="6D31F53B" w:rsidR="00B51191" w:rsidRPr="00CA68A7" w:rsidRDefault="00000000" w:rsidP="00102162">
            <w:pPr>
              <w:spacing w:after="0"/>
              <w:rPr>
                <w:rFonts w:ascii="Public Sans" w:hAnsi="Public Sans"/>
              </w:rPr>
            </w:pPr>
            <w:sdt>
              <w:sdtPr>
                <w:rPr>
                  <w:rFonts w:ascii="Public Sans" w:hAnsi="Public Sans"/>
                </w:rPr>
                <w:id w:val="515125323"/>
                <w14:checkbox>
                  <w14:checked w14:val="1"/>
                  <w14:checkedState w14:val="2612" w14:font="MS Gothic"/>
                  <w14:uncheckedState w14:val="2610" w14:font="MS Gothic"/>
                </w14:checkbox>
              </w:sdtPr>
              <w:sdtContent>
                <w:r w:rsidR="003A425E" w:rsidRPr="004A1B92">
                  <w:rPr>
                    <w:rFonts w:ascii="MS Gothic" w:eastAsia="MS Gothic" w:hAnsi="MS Gothic" w:hint="eastAsia"/>
                  </w:rPr>
                  <w:t>☒</w:t>
                </w:r>
              </w:sdtContent>
            </w:sdt>
            <w:r w:rsidR="003A425E" w:rsidRPr="00CA68A7">
              <w:rPr>
                <w:rFonts w:ascii="Public Sans" w:hAnsi="Public Sans"/>
              </w:rPr>
              <w:t xml:space="preserve"> </w:t>
            </w:r>
            <w:r w:rsidR="003A425E" w:rsidRPr="003A425E">
              <w:rPr>
                <w:rFonts w:ascii="Public Sans" w:hAnsi="Public Sans"/>
                <w:b/>
                <w:bCs/>
              </w:rPr>
              <w:t>Benchmark:</w:t>
            </w:r>
            <w:r w:rsidR="003A425E" w:rsidRPr="00CA68A7">
              <w:rPr>
                <w:rFonts w:ascii="Public Sans" w:hAnsi="Public Sans"/>
              </w:rPr>
              <w:t xml:space="preserve"> Nil.</w:t>
            </w:r>
          </w:p>
          <w:p w14:paraId="57B69FE7" w14:textId="7F244873" w:rsidR="00B51191" w:rsidRPr="00CA68A7" w:rsidRDefault="003A425E" w:rsidP="00102162">
            <w:pPr>
              <w:spacing w:after="0"/>
              <w:rPr>
                <w:rFonts w:ascii="Public Sans" w:hAnsi="Public Sans"/>
              </w:rPr>
            </w:pPr>
            <w:r w:rsidRPr="00CA68A7">
              <w:rPr>
                <w:rFonts w:ascii="Public Sans" w:hAnsi="Public Sans"/>
                <w:b/>
                <w:bCs/>
              </w:rPr>
              <w:t>Justification/Remarks:</w:t>
            </w:r>
            <w:r w:rsidRPr="00CA68A7">
              <w:rPr>
                <w:rFonts w:ascii="Public Sans" w:hAnsi="Public Sans"/>
              </w:rPr>
              <w:t xml:space="preserve"> No change.</w:t>
            </w:r>
          </w:p>
        </w:tc>
      </w:tr>
    </w:tbl>
    <w:p w14:paraId="5B7E8323" w14:textId="77777777" w:rsidR="00A37373" w:rsidRPr="00CA68A7" w:rsidRDefault="00A37373" w:rsidP="00102162">
      <w:pPr>
        <w:spacing w:after="0"/>
        <w:rPr>
          <w:rFonts w:ascii="Public Sans" w:hAnsi="Public Sans"/>
        </w:rPr>
      </w:pPr>
    </w:p>
    <w:sectPr w:rsidR="00A37373" w:rsidRPr="00CA68A7" w:rsidSect="00B51191">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418" w:header="567" w:footer="567" w:gutter="0"/>
      <w:paperSrc w:first="11" w:other="1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E9757" w14:textId="77777777" w:rsidR="009D148D" w:rsidRDefault="009D148D">
      <w:r>
        <w:separator/>
      </w:r>
    </w:p>
  </w:endnote>
  <w:endnote w:type="continuationSeparator" w:id="0">
    <w:p w14:paraId="4095BE6A" w14:textId="77777777" w:rsidR="009D148D" w:rsidRDefault="009D1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rtugal">
    <w:altName w:val="Cambria"/>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ublic Sans">
    <w:panose1 w:val="00000000000000000000"/>
    <w:charset w:val="00"/>
    <w:family w:val="auto"/>
    <w:pitch w:val="variable"/>
    <w:sig w:usb0="A00000FF" w:usb1="4000205B"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25C0D" w14:textId="77777777" w:rsidR="00E73A5A" w:rsidRDefault="00E73A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A863A" w14:textId="46143BFC" w:rsidR="00B51191" w:rsidRPr="00CA68A7" w:rsidRDefault="00000000">
    <w:pPr>
      <w:tabs>
        <w:tab w:val="right" w:pos="9072"/>
      </w:tabs>
      <w:rPr>
        <w:rFonts w:ascii="Public Sans" w:hAnsi="Public Sans"/>
        <w:smallCaps/>
        <w:sz w:val="18"/>
      </w:rPr>
    </w:pPr>
    <w:r w:rsidRPr="00CA68A7">
      <w:rPr>
        <w:rFonts w:ascii="Public Sans" w:hAnsi="Public Sans"/>
        <w:sz w:val="18"/>
      </w:rPr>
      <w:t xml:space="preserve">State </w:t>
    </w:r>
    <w:r w:rsidR="00CA68A7" w:rsidRPr="00CA68A7">
      <w:rPr>
        <w:rFonts w:ascii="Public Sans" w:hAnsi="Public Sans"/>
        <w:sz w:val="18"/>
      </w:rPr>
      <w:t>Records</w:t>
    </w:r>
    <w:r w:rsidRPr="00CA68A7">
      <w:rPr>
        <w:rFonts w:ascii="Public Sans" w:hAnsi="Public Sans"/>
        <w:sz w:val="18"/>
      </w:rPr>
      <w:t xml:space="preserve"> Authority </w:t>
    </w:r>
    <w:r w:rsidR="00CA68A7" w:rsidRPr="00CA68A7">
      <w:rPr>
        <w:rFonts w:ascii="Public Sans" w:hAnsi="Public Sans"/>
        <w:sz w:val="18"/>
      </w:rPr>
      <w:t>NSW</w:t>
    </w:r>
    <w:r w:rsidRPr="00CA68A7">
      <w:rPr>
        <w:rFonts w:ascii="Public Sans" w:hAnsi="Public Sans"/>
        <w:sz w:val="18"/>
      </w:rPr>
      <w:tab/>
    </w:r>
    <w:r w:rsidR="00B51191" w:rsidRPr="00CA68A7">
      <w:rPr>
        <w:rFonts w:ascii="Public Sans" w:hAnsi="Public Sans"/>
        <w:sz w:val="18"/>
      </w:rPr>
      <w:fldChar w:fldCharType="begin"/>
    </w:r>
    <w:r w:rsidRPr="00CA68A7">
      <w:rPr>
        <w:rFonts w:ascii="Public Sans" w:hAnsi="Public Sans"/>
        <w:sz w:val="18"/>
      </w:rPr>
      <w:instrText xml:space="preserve">PAGE </w:instrText>
    </w:r>
    <w:r w:rsidR="00B51191" w:rsidRPr="00CA68A7">
      <w:rPr>
        <w:rFonts w:ascii="Public Sans" w:hAnsi="Public Sans"/>
        <w:sz w:val="18"/>
      </w:rPr>
      <w:fldChar w:fldCharType="separate"/>
    </w:r>
    <w:r w:rsidR="00CA68A7" w:rsidRPr="00CA68A7">
      <w:rPr>
        <w:rFonts w:ascii="Public Sans" w:hAnsi="Public Sans"/>
        <w:noProof/>
        <w:sz w:val="18"/>
      </w:rPr>
      <w:t>2</w:t>
    </w:r>
    <w:r w:rsidR="00B51191" w:rsidRPr="00CA68A7">
      <w:rPr>
        <w:rFonts w:ascii="Public Sans" w:hAnsi="Public Sans"/>
        <w:sz w:val="18"/>
      </w:rPr>
      <w:fldChar w:fldCharType="end"/>
    </w:r>
    <w:r w:rsidRPr="00CA68A7">
      <w:rPr>
        <w:rFonts w:ascii="Public Sans" w:hAnsi="Public Sans"/>
        <w:sz w:val="18"/>
      </w:rPr>
      <w:t xml:space="preserve"> of </w:t>
    </w:r>
    <w:r w:rsidR="00B51191" w:rsidRPr="00CA68A7">
      <w:rPr>
        <w:rFonts w:ascii="Public Sans" w:hAnsi="Public Sans"/>
        <w:sz w:val="18"/>
      </w:rPr>
      <w:fldChar w:fldCharType="begin"/>
    </w:r>
    <w:r w:rsidRPr="00CA68A7">
      <w:rPr>
        <w:rFonts w:ascii="Public Sans" w:hAnsi="Public Sans"/>
        <w:sz w:val="18"/>
      </w:rPr>
      <w:instrText>=</w:instrText>
    </w:r>
    <w:r w:rsidR="00B51191" w:rsidRPr="00CA68A7">
      <w:rPr>
        <w:rFonts w:ascii="Public Sans" w:hAnsi="Public Sans"/>
        <w:sz w:val="18"/>
      </w:rPr>
      <w:fldChar w:fldCharType="begin"/>
    </w:r>
    <w:r w:rsidRPr="00CA68A7">
      <w:rPr>
        <w:rFonts w:ascii="Public Sans" w:hAnsi="Public Sans"/>
        <w:sz w:val="18"/>
      </w:rPr>
      <w:instrText xml:space="preserve">NUMPAGES </w:instrText>
    </w:r>
    <w:r w:rsidR="00B51191" w:rsidRPr="00CA68A7">
      <w:rPr>
        <w:rFonts w:ascii="Public Sans" w:hAnsi="Public Sans"/>
        <w:sz w:val="18"/>
      </w:rPr>
      <w:fldChar w:fldCharType="separate"/>
    </w:r>
    <w:r w:rsidR="00102162">
      <w:rPr>
        <w:rFonts w:ascii="Public Sans" w:hAnsi="Public Sans"/>
        <w:noProof/>
        <w:sz w:val="18"/>
      </w:rPr>
      <w:instrText>5</w:instrText>
    </w:r>
    <w:r w:rsidR="00B51191" w:rsidRPr="00CA68A7">
      <w:rPr>
        <w:rFonts w:ascii="Public Sans" w:hAnsi="Public Sans"/>
        <w:sz w:val="18"/>
      </w:rPr>
      <w:fldChar w:fldCharType="end"/>
    </w:r>
    <w:r w:rsidRPr="00CA68A7">
      <w:rPr>
        <w:rFonts w:ascii="Public Sans" w:hAnsi="Public Sans"/>
        <w:sz w:val="18"/>
      </w:rPr>
      <w:instrText>-0</w:instrText>
    </w:r>
    <w:r w:rsidR="00B51191" w:rsidRPr="00CA68A7">
      <w:rPr>
        <w:rFonts w:ascii="Public Sans" w:hAnsi="Public Sans"/>
        <w:sz w:val="18"/>
      </w:rPr>
      <w:fldChar w:fldCharType="separate"/>
    </w:r>
    <w:r w:rsidR="00102162">
      <w:rPr>
        <w:rFonts w:ascii="Public Sans" w:hAnsi="Public Sans"/>
        <w:noProof/>
        <w:sz w:val="18"/>
      </w:rPr>
      <w:t>5</w:t>
    </w:r>
    <w:r w:rsidR="00B51191" w:rsidRPr="00CA68A7">
      <w:rPr>
        <w:rFonts w:ascii="Public Sans" w:hAnsi="Public San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1DA40" w14:textId="7621B449" w:rsidR="00B51191" w:rsidRDefault="00000000">
    <w:pPr>
      <w:tabs>
        <w:tab w:val="right" w:pos="9072"/>
      </w:tabs>
      <w:rPr>
        <w:smallCaps/>
        <w:sz w:val="18"/>
      </w:rPr>
    </w:pPr>
    <w:r>
      <w:rPr>
        <w:sz w:val="18"/>
      </w:rPr>
      <w:t>State Archives and Records Authority of New South Wales</w:t>
    </w:r>
    <w:r>
      <w:rPr>
        <w:sz w:val="18"/>
      </w:rPr>
      <w:tab/>
    </w:r>
    <w:r w:rsidR="00B51191">
      <w:rPr>
        <w:sz w:val="18"/>
      </w:rPr>
      <w:fldChar w:fldCharType="begin"/>
    </w:r>
    <w:r>
      <w:rPr>
        <w:sz w:val="18"/>
      </w:rPr>
      <w:instrText xml:space="preserve">PAGE </w:instrText>
    </w:r>
    <w:r w:rsidR="00B51191">
      <w:rPr>
        <w:sz w:val="18"/>
      </w:rPr>
      <w:fldChar w:fldCharType="separate"/>
    </w:r>
    <w:r w:rsidR="00CA68A7">
      <w:rPr>
        <w:noProof/>
        <w:sz w:val="18"/>
      </w:rPr>
      <w:t>1</w:t>
    </w:r>
    <w:r w:rsidR="00B51191">
      <w:rPr>
        <w:sz w:val="18"/>
      </w:rPr>
      <w:fldChar w:fldCharType="end"/>
    </w:r>
    <w:r>
      <w:rPr>
        <w:sz w:val="18"/>
      </w:rPr>
      <w:t xml:space="preserve"> of </w:t>
    </w:r>
    <w:r w:rsidR="00B51191">
      <w:rPr>
        <w:sz w:val="18"/>
      </w:rPr>
      <w:fldChar w:fldCharType="begin"/>
    </w:r>
    <w:r>
      <w:rPr>
        <w:sz w:val="18"/>
      </w:rPr>
      <w:instrText>=</w:instrText>
    </w:r>
    <w:r w:rsidR="00B51191">
      <w:rPr>
        <w:sz w:val="18"/>
      </w:rPr>
      <w:fldChar w:fldCharType="begin"/>
    </w:r>
    <w:r>
      <w:rPr>
        <w:sz w:val="18"/>
      </w:rPr>
      <w:instrText xml:space="preserve">NUMPAGES </w:instrText>
    </w:r>
    <w:r w:rsidR="00B51191">
      <w:rPr>
        <w:sz w:val="18"/>
      </w:rPr>
      <w:fldChar w:fldCharType="separate"/>
    </w:r>
    <w:r w:rsidR="00102162">
      <w:rPr>
        <w:noProof/>
        <w:sz w:val="18"/>
      </w:rPr>
      <w:instrText>5</w:instrText>
    </w:r>
    <w:r w:rsidR="00B51191">
      <w:rPr>
        <w:sz w:val="18"/>
      </w:rPr>
      <w:fldChar w:fldCharType="end"/>
    </w:r>
    <w:r>
      <w:rPr>
        <w:sz w:val="18"/>
      </w:rPr>
      <w:instrText>-0</w:instrText>
    </w:r>
    <w:r w:rsidR="00B51191">
      <w:rPr>
        <w:sz w:val="18"/>
      </w:rPr>
      <w:fldChar w:fldCharType="separate"/>
    </w:r>
    <w:r w:rsidR="00102162">
      <w:rPr>
        <w:noProof/>
        <w:sz w:val="18"/>
      </w:rPr>
      <w:t>5</w:t>
    </w:r>
    <w:r w:rsidR="00B51191">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61285" w14:textId="77777777" w:rsidR="009D148D" w:rsidRDefault="009D148D">
      <w:r>
        <w:separator/>
      </w:r>
    </w:p>
  </w:footnote>
  <w:footnote w:type="continuationSeparator" w:id="0">
    <w:p w14:paraId="624540F1" w14:textId="77777777" w:rsidR="009D148D" w:rsidRDefault="009D1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2145A" w14:textId="77777777" w:rsidR="00E73A5A" w:rsidRDefault="00E73A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3593B" w14:textId="531BCE9E" w:rsidR="00B51191" w:rsidRPr="006A0FD0" w:rsidRDefault="00000000">
    <w:pPr>
      <w:pStyle w:val="Subtitle"/>
      <w:rPr>
        <w:rFonts w:ascii="Public Sans" w:hAnsi="Public Sans"/>
      </w:rPr>
    </w:pPr>
    <w:sdt>
      <w:sdtPr>
        <w:rPr>
          <w:rFonts w:ascii="Public Sans" w:hAnsi="Public Sans"/>
        </w:rPr>
        <w:id w:val="-643580690"/>
        <w:docPartObj>
          <w:docPartGallery w:val="Watermarks"/>
          <w:docPartUnique/>
        </w:docPartObj>
      </w:sdtPr>
      <w:sdtContent>
        <w:r>
          <w:rPr>
            <w:rFonts w:ascii="Public Sans" w:hAnsi="Public Sans"/>
            <w:noProof/>
          </w:rPr>
          <w:pict w14:anchorId="2457E4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7877" o:spid="_x0000_s1026" type="#_x0000_t136" style="position:absolute;left:0;text-align:left;margin-left:0;margin-top:0;width:456.75pt;height:182.7pt;rotation:315;z-index:-251658752;mso-position-horizontal:center;mso-position-horizontal-relative:margin;mso-position-vertical:center;mso-position-vertical-relative:margin" o:allowincell="f" fillcolor="silver" stroked="f">
              <v:fill opacity=".5"/>
              <v:textpath style="font-family:&quot;Public Sans&quot;;font-size:1pt" string="DRAFT"/>
              <w10:wrap anchorx="margin" anchory="margin"/>
            </v:shape>
          </w:pict>
        </w:r>
      </w:sdtContent>
    </w:sdt>
    <w:r w:rsidR="00E73A5A" w:rsidRPr="006A0FD0">
      <w:rPr>
        <w:rFonts w:ascii="Public Sans" w:hAnsi="Public Sans"/>
      </w:rPr>
      <w:t>Border Fence Maintenance Board</w:t>
    </w:r>
  </w:p>
  <w:p w14:paraId="03630B12" w14:textId="03B6BBFA" w:rsidR="00B51191" w:rsidRPr="006A0FD0" w:rsidRDefault="00000000">
    <w:pPr>
      <w:pStyle w:val="Heading4"/>
      <w:tabs>
        <w:tab w:val="right" w:pos="9072"/>
      </w:tabs>
      <w:rPr>
        <w:rFonts w:ascii="Public Sans" w:hAnsi="Public Sans"/>
        <w:bCs/>
      </w:rPr>
    </w:pPr>
    <w:r w:rsidRPr="006A0FD0">
      <w:rPr>
        <w:rFonts w:ascii="Public Sans" w:hAnsi="Public Sans"/>
        <w:bCs/>
      </w:rPr>
      <w:t xml:space="preserve">Authority number: </w:t>
    </w:r>
    <w:r w:rsidR="006A0FD0">
      <w:rPr>
        <w:rFonts w:ascii="Public Sans" w:hAnsi="Public Sans"/>
        <w:bCs/>
      </w:rPr>
      <w:t>DRAFT</w:t>
    </w:r>
    <w:r w:rsidRPr="006A0FD0">
      <w:rPr>
        <w:rFonts w:ascii="Public Sans" w:hAnsi="Public Sans"/>
        <w:bCs/>
      </w:rPr>
      <w:tab/>
      <w:t>Dates of coverage: Open</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B51191" w:rsidRPr="006A0FD0" w14:paraId="5FA86F76" w14:textId="77777777">
      <w:trPr>
        <w:jc w:val="center"/>
      </w:trPr>
      <w:tc>
        <w:tcPr>
          <w:tcW w:w="992" w:type="dxa"/>
          <w:shd w:val="clear" w:color="auto" w:fill="auto"/>
        </w:tcPr>
        <w:p w14:paraId="09AC74D4" w14:textId="77777777" w:rsidR="00B51191" w:rsidRPr="006A0FD0" w:rsidRDefault="00000000">
          <w:pPr>
            <w:spacing w:before="100" w:beforeAutospacing="1" w:after="100" w:afterAutospacing="1"/>
            <w:rPr>
              <w:rFonts w:ascii="Public Sans" w:hAnsi="Public Sans"/>
              <w:b/>
              <w:szCs w:val="24"/>
            </w:rPr>
          </w:pPr>
          <w:r w:rsidRPr="006A0FD0">
            <w:rPr>
              <w:rFonts w:ascii="Public Sans" w:hAnsi="Public Sans"/>
              <w:b/>
              <w:szCs w:val="24"/>
            </w:rPr>
            <w:t>No.</w:t>
          </w:r>
        </w:p>
      </w:tc>
      <w:tc>
        <w:tcPr>
          <w:tcW w:w="5812" w:type="dxa"/>
          <w:shd w:val="clear" w:color="auto" w:fill="auto"/>
        </w:tcPr>
        <w:p w14:paraId="380AA0D7" w14:textId="77777777" w:rsidR="00B51191" w:rsidRPr="006A0FD0" w:rsidRDefault="00000000">
          <w:pPr>
            <w:spacing w:before="100" w:beforeAutospacing="1" w:after="100" w:afterAutospacing="1"/>
            <w:rPr>
              <w:rFonts w:ascii="Public Sans" w:hAnsi="Public Sans"/>
              <w:b/>
              <w:szCs w:val="24"/>
            </w:rPr>
          </w:pPr>
          <w:r w:rsidRPr="006A0FD0">
            <w:rPr>
              <w:rFonts w:ascii="Public Sans" w:hAnsi="Public Sans"/>
              <w:b/>
              <w:szCs w:val="24"/>
            </w:rPr>
            <w:t>Description of records</w:t>
          </w:r>
        </w:p>
      </w:tc>
      <w:tc>
        <w:tcPr>
          <w:tcW w:w="2268" w:type="dxa"/>
          <w:shd w:val="clear" w:color="auto" w:fill="auto"/>
        </w:tcPr>
        <w:p w14:paraId="0AC917F3" w14:textId="77777777" w:rsidR="00B51191" w:rsidRPr="006A0FD0" w:rsidRDefault="00000000">
          <w:pPr>
            <w:spacing w:before="100" w:beforeAutospacing="1" w:after="100" w:afterAutospacing="1"/>
            <w:rPr>
              <w:rFonts w:ascii="Public Sans" w:hAnsi="Public Sans"/>
              <w:b/>
              <w:szCs w:val="24"/>
            </w:rPr>
          </w:pPr>
          <w:r w:rsidRPr="006A0FD0">
            <w:rPr>
              <w:rFonts w:ascii="Public Sans" w:hAnsi="Public Sans"/>
              <w:b/>
              <w:szCs w:val="24"/>
            </w:rPr>
            <w:t>Disposal action</w:t>
          </w:r>
        </w:p>
      </w:tc>
    </w:tr>
  </w:tbl>
  <w:p w14:paraId="5BC8E5D2" w14:textId="34DB6A03" w:rsidR="00B51191" w:rsidRPr="006A0FD0" w:rsidRDefault="00B51191">
    <w:pPr>
      <w:rPr>
        <w:rFonts w:ascii="Public Sans" w:hAnsi="Public Sans"/>
        <w:i/>
      </w:rPr>
    </w:pPr>
    <w:r w:rsidRPr="006A0FD0">
      <w:rPr>
        <w:rFonts w:ascii="Public Sans" w:hAnsi="Public Sans"/>
      </w:rPr>
      <w:fldChar w:fldCharType="begin"/>
    </w:r>
    <w:r w:rsidRPr="006A0FD0">
      <w:rPr>
        <w:rFonts w:ascii="Public Sans" w:hAnsi="Public Sans"/>
        <w:i/>
      </w:rPr>
      <w:instrText>STYLEREF  "HIDDEN CHAR" \* MERGEFORMAT</w:instrText>
    </w:r>
    <w:r w:rsidRPr="006A0FD0">
      <w:rPr>
        <w:rFonts w:ascii="Public Sans" w:hAnsi="Public Sans"/>
      </w:rPr>
      <w:fldChar w:fldCharType="separate"/>
    </w:r>
    <w:r w:rsidR="00102162">
      <w:rPr>
        <w:rFonts w:ascii="Public Sans" w:hAnsi="Public Sans"/>
        <w:i/>
        <w:noProof/>
      </w:rPr>
      <w:t>BORDER FENCE MANAGEMENT</w:t>
    </w:r>
    <w:r w:rsidRPr="006A0FD0">
      <w:rPr>
        <w:rFonts w:ascii="Public Sans" w:hAnsi="Public San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71349" w14:textId="77777777" w:rsidR="00B51191" w:rsidRPr="00CA68A7" w:rsidRDefault="00000000">
    <w:pPr>
      <w:pStyle w:val="Subtitle"/>
      <w:rPr>
        <w:rFonts w:ascii="Public Sans" w:hAnsi="Public Sans"/>
      </w:rPr>
    </w:pPr>
    <w:r w:rsidRPr="00CA68A7">
      <w:rPr>
        <w:rFonts w:ascii="Public Sans" w:hAnsi="Public Sans"/>
      </w:rPr>
      <w:t>DRAFT - Functional Retention and Disposal Authority</w:t>
    </w:r>
    <w:r w:rsidRPr="00CA68A7">
      <w:rPr>
        <w:rFonts w:ascii="Public Sans" w:hAnsi="Public Sans"/>
      </w:rPr>
      <w:br/>
      <w:t>Border Fence Maintenance Board</w:t>
    </w:r>
  </w:p>
  <w:p w14:paraId="4F9B8FF1" w14:textId="016B690E" w:rsidR="00B51191" w:rsidRPr="00CA68A7" w:rsidRDefault="00000000">
    <w:pPr>
      <w:pStyle w:val="Heading4"/>
      <w:tabs>
        <w:tab w:val="right" w:pos="9072"/>
      </w:tabs>
      <w:rPr>
        <w:rFonts w:ascii="Public Sans" w:hAnsi="Public Sans"/>
        <w:bCs/>
      </w:rPr>
    </w:pPr>
    <w:r w:rsidRPr="00CA68A7">
      <w:rPr>
        <w:rFonts w:ascii="Public Sans" w:hAnsi="Public Sans"/>
        <w:bCs/>
      </w:rPr>
      <w:t xml:space="preserve">Authority number: </w:t>
    </w:r>
    <w:r w:rsidR="00CA68A7">
      <w:rPr>
        <w:rFonts w:ascii="Public Sans" w:hAnsi="Public Sans"/>
        <w:bCs/>
      </w:rPr>
      <w:t>DRAFT</w:t>
    </w:r>
    <w:r w:rsidRPr="00CA68A7">
      <w:rPr>
        <w:rFonts w:ascii="Public Sans" w:hAnsi="Public Sans"/>
        <w:bCs/>
      </w:rPr>
      <w:tab/>
      <w:t>Dates of coverage: Open</w:t>
    </w:r>
  </w:p>
  <w:tbl>
    <w:tblPr>
      <w:tblW w:w="907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2"/>
      <w:gridCol w:w="5812"/>
      <w:gridCol w:w="2268"/>
    </w:tblGrid>
    <w:tr w:rsidR="00B51191" w:rsidRPr="00CA68A7" w14:paraId="3014E83D" w14:textId="77777777">
      <w:trPr>
        <w:jc w:val="center"/>
      </w:trPr>
      <w:tc>
        <w:tcPr>
          <w:tcW w:w="992" w:type="dxa"/>
          <w:shd w:val="clear" w:color="auto" w:fill="auto"/>
        </w:tcPr>
        <w:p w14:paraId="1DEDE1C7" w14:textId="77777777" w:rsidR="00B51191" w:rsidRPr="00CA68A7" w:rsidRDefault="00000000">
          <w:pPr>
            <w:spacing w:before="100" w:beforeAutospacing="1" w:after="100" w:afterAutospacing="1"/>
            <w:rPr>
              <w:rFonts w:ascii="Public Sans" w:hAnsi="Public Sans"/>
              <w:b/>
              <w:szCs w:val="24"/>
            </w:rPr>
          </w:pPr>
          <w:r w:rsidRPr="00CA68A7">
            <w:rPr>
              <w:rFonts w:ascii="Public Sans" w:hAnsi="Public Sans"/>
              <w:b/>
              <w:szCs w:val="24"/>
            </w:rPr>
            <w:t>No.</w:t>
          </w:r>
        </w:p>
      </w:tc>
      <w:tc>
        <w:tcPr>
          <w:tcW w:w="5812" w:type="dxa"/>
          <w:shd w:val="clear" w:color="auto" w:fill="auto"/>
        </w:tcPr>
        <w:p w14:paraId="49FB3EDF" w14:textId="77777777" w:rsidR="00B51191" w:rsidRPr="00CA68A7" w:rsidRDefault="00000000">
          <w:pPr>
            <w:spacing w:before="100" w:beforeAutospacing="1" w:after="100" w:afterAutospacing="1"/>
            <w:rPr>
              <w:rFonts w:ascii="Public Sans" w:hAnsi="Public Sans"/>
              <w:b/>
              <w:szCs w:val="24"/>
            </w:rPr>
          </w:pPr>
          <w:r w:rsidRPr="00CA68A7">
            <w:rPr>
              <w:rFonts w:ascii="Public Sans" w:hAnsi="Public Sans"/>
              <w:b/>
              <w:szCs w:val="24"/>
            </w:rPr>
            <w:t>Description of records</w:t>
          </w:r>
        </w:p>
      </w:tc>
      <w:tc>
        <w:tcPr>
          <w:tcW w:w="2268" w:type="dxa"/>
          <w:shd w:val="clear" w:color="auto" w:fill="auto"/>
        </w:tcPr>
        <w:p w14:paraId="46A7D7F7" w14:textId="77777777" w:rsidR="00B51191" w:rsidRPr="00CA68A7" w:rsidRDefault="00000000">
          <w:pPr>
            <w:spacing w:before="100" w:beforeAutospacing="1" w:after="100" w:afterAutospacing="1"/>
            <w:rPr>
              <w:rFonts w:ascii="Public Sans" w:hAnsi="Public Sans"/>
              <w:b/>
              <w:szCs w:val="24"/>
            </w:rPr>
          </w:pPr>
          <w:r w:rsidRPr="00CA68A7">
            <w:rPr>
              <w:rFonts w:ascii="Public Sans" w:hAnsi="Public Sans"/>
              <w:b/>
              <w:szCs w:val="24"/>
            </w:rPr>
            <w:t>Disposal action</w:t>
          </w:r>
        </w:p>
      </w:tc>
    </w:tr>
  </w:tbl>
  <w:p w14:paraId="2D1E26E8" w14:textId="77777777" w:rsidR="00B51191" w:rsidRPr="00CA68A7" w:rsidRDefault="00B51191">
    <w:pPr>
      <w:spacing w:before="0" w:after="0"/>
      <w:rPr>
        <w:rFonts w:ascii="Public Sans" w:hAnsi="Public San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C85CED16"/>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112C0172"/>
    <w:multiLevelType w:val="multilevel"/>
    <w:tmpl w:val="2E6A071E"/>
    <w:lvl w:ilvl="0">
      <w:start w:val="1"/>
      <w:numFmt w:val="decimal"/>
      <w:pStyle w:val="Intern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86406032">
    <w:abstractNumId w:val="0"/>
  </w:num>
  <w:num w:numId="2" w16cid:durableId="75204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intFractionalCharacterWidth/>
  <w:hideGrammaticalErrors/>
  <w:activeWritingStyle w:appName="MSWord" w:lang="en-AU" w:vendorID="8" w:dllVersion="513" w:checkStyle="0"/>
  <w:proofState w:grammar="clean"/>
  <w:defaultTabStop w:val="567"/>
  <w:doNotHyphenateCaps/>
  <w:displayHorizontalDrawingGridEvery w:val="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191"/>
    <w:rsid w:val="00102162"/>
    <w:rsid w:val="001224C6"/>
    <w:rsid w:val="00325786"/>
    <w:rsid w:val="003A425E"/>
    <w:rsid w:val="004A1B92"/>
    <w:rsid w:val="006A0FD0"/>
    <w:rsid w:val="009D148D"/>
    <w:rsid w:val="00A37373"/>
    <w:rsid w:val="00B51191"/>
    <w:rsid w:val="00CA68A7"/>
    <w:rsid w:val="00D64C38"/>
    <w:rsid w:val="00E73A5A"/>
  </w:rsids>
  <m:mathPr>
    <m:mathFont m:val="Cambria Math"/>
    <m:brkBin m:val="before"/>
    <m:brkBinSub m:val="--"/>
    <m:smallFrac m:val="0"/>
    <m:dispDef/>
    <m:lMargin m:val="0"/>
    <m:rMargin m:val="0"/>
    <m:defJc m:val="centerGroup"/>
    <m:wrapIndent m:val="1440"/>
    <m:intLim m:val="subSup"/>
    <m:naryLim m:val="undOvr"/>
  </m:mathPr>
  <w:attachedSchema w:val="http://www.records.nsw.gov.au/schemas/RDA"/>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CFE8E"/>
  <w15:docId w15:val="{42F102F5-C94C-4ACF-95C3-7A5DF7FA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rtugal" w:eastAsia="Times New Roman" w:hAnsi="Portugal"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1191"/>
    <w:pPr>
      <w:spacing w:before="120" w:after="120"/>
    </w:pPr>
    <w:rPr>
      <w:rFonts w:ascii="Verdana" w:hAnsi="Verdana"/>
    </w:rPr>
  </w:style>
  <w:style w:type="paragraph" w:styleId="Heading1">
    <w:name w:val="heading 1"/>
    <w:basedOn w:val="Normal"/>
    <w:next w:val="Normal"/>
    <w:qFormat/>
    <w:rsid w:val="00B51191"/>
    <w:pPr>
      <w:keepNext/>
      <w:spacing w:before="240"/>
      <w:ind w:left="709" w:hanging="709"/>
      <w:outlineLvl w:val="0"/>
    </w:pPr>
    <w:rPr>
      <w:b/>
      <w:sz w:val="24"/>
    </w:rPr>
  </w:style>
  <w:style w:type="paragraph" w:styleId="Heading2">
    <w:name w:val="heading 2"/>
    <w:basedOn w:val="Normal"/>
    <w:next w:val="Normal"/>
    <w:qFormat/>
    <w:rsid w:val="00B51191"/>
    <w:pPr>
      <w:keepNext/>
      <w:spacing w:before="180"/>
      <w:outlineLvl w:val="1"/>
    </w:pPr>
    <w:rPr>
      <w:b/>
      <w:sz w:val="22"/>
    </w:rPr>
  </w:style>
  <w:style w:type="paragraph" w:styleId="Heading3">
    <w:name w:val="heading 3"/>
    <w:basedOn w:val="Normal"/>
    <w:next w:val="Normal"/>
    <w:qFormat/>
    <w:rsid w:val="00B51191"/>
    <w:pPr>
      <w:keepNext/>
      <w:outlineLvl w:val="2"/>
    </w:pPr>
    <w:rPr>
      <w:b/>
    </w:rPr>
  </w:style>
  <w:style w:type="paragraph" w:styleId="Heading4">
    <w:name w:val="heading 4"/>
    <w:basedOn w:val="Normal"/>
    <w:next w:val="Normal"/>
    <w:qFormat/>
    <w:rsid w:val="00B51191"/>
    <w:pPr>
      <w:keepNex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H1">
    <w:name w:val="AR H1"/>
    <w:basedOn w:val="Heading1"/>
    <w:rsid w:val="00656F95"/>
    <w:pPr>
      <w:pBdr>
        <w:bottom w:val="single" w:sz="12" w:space="4" w:color="4F81BD"/>
      </w:pBdr>
      <w:spacing w:after="240" w:line="320" w:lineRule="atLeast"/>
      <w:ind w:left="0" w:firstLine="0"/>
    </w:pPr>
    <w:rPr>
      <w:color w:val="0070C0"/>
      <w:sz w:val="28"/>
      <w:szCs w:val="28"/>
    </w:rPr>
  </w:style>
  <w:style w:type="paragraph" w:customStyle="1" w:styleId="ARTitle">
    <w:name w:val="AR Title"/>
    <w:basedOn w:val="Title"/>
    <w:rsid w:val="00656F95"/>
    <w:pPr>
      <w:spacing w:before="360" w:after="240"/>
    </w:pPr>
    <w:rPr>
      <w:rFonts w:cs="Times New Roman"/>
      <w:bCs w:val="0"/>
      <w:color w:val="000000"/>
    </w:rPr>
  </w:style>
  <w:style w:type="paragraph" w:customStyle="1" w:styleId="ARParagraph">
    <w:name w:val="AR Paragraph"/>
    <w:rsid w:val="00FA3EC9"/>
    <w:pPr>
      <w:spacing w:before="200"/>
    </w:pPr>
    <w:rPr>
      <w:rFonts w:ascii="Verdana" w:hAnsi="Verdana"/>
      <w:sz w:val="22"/>
      <w:szCs w:val="22"/>
    </w:rPr>
  </w:style>
  <w:style w:type="paragraph" w:customStyle="1" w:styleId="ChapterHeading">
    <w:name w:val="Chapter Heading"/>
    <w:basedOn w:val="Normal"/>
    <w:rsid w:val="00B51191"/>
    <w:pPr>
      <w:pBdr>
        <w:bottom w:val="single" w:sz="4" w:space="1" w:color="auto"/>
      </w:pBdr>
      <w:ind w:left="709" w:hanging="709"/>
    </w:pPr>
    <w:rPr>
      <w:b/>
      <w:sz w:val="40"/>
    </w:rPr>
  </w:style>
  <w:style w:type="paragraph" w:styleId="Footer">
    <w:name w:val="footer"/>
    <w:basedOn w:val="Normal"/>
    <w:rsid w:val="00B51191"/>
    <w:pPr>
      <w:tabs>
        <w:tab w:val="right" w:pos="9072"/>
      </w:tabs>
      <w:spacing w:before="60" w:after="60"/>
    </w:pPr>
    <w:rPr>
      <w:sz w:val="18"/>
    </w:rPr>
  </w:style>
  <w:style w:type="paragraph" w:customStyle="1" w:styleId="FooterA4Shell">
    <w:name w:val="Footer A4 Shell"/>
    <w:basedOn w:val="Normal"/>
    <w:rsid w:val="00B51191"/>
    <w:pPr>
      <w:tabs>
        <w:tab w:val="right" w:pos="7655"/>
      </w:tabs>
    </w:pPr>
    <w:rPr>
      <w:sz w:val="18"/>
    </w:rPr>
  </w:style>
  <w:style w:type="character" w:styleId="FootnoteReference">
    <w:name w:val="footnote reference"/>
    <w:basedOn w:val="DefaultParagraphFont"/>
    <w:semiHidden/>
    <w:rsid w:val="00B51191"/>
    <w:rPr>
      <w:rFonts w:ascii="Verdana" w:hAnsi="Verdana"/>
      <w:sz w:val="18"/>
      <w:vertAlign w:val="superscript"/>
    </w:rPr>
  </w:style>
  <w:style w:type="paragraph" w:styleId="FootnoteText">
    <w:name w:val="footnote text"/>
    <w:basedOn w:val="Normal"/>
    <w:semiHidden/>
    <w:rsid w:val="00B51191"/>
    <w:pPr>
      <w:spacing w:before="0" w:after="0"/>
      <w:ind w:left="709" w:hanging="709"/>
    </w:pPr>
    <w:rPr>
      <w:sz w:val="18"/>
    </w:rPr>
  </w:style>
  <w:style w:type="paragraph" w:styleId="Header">
    <w:name w:val="header"/>
    <w:basedOn w:val="Normal"/>
    <w:rsid w:val="00B51191"/>
    <w:pPr>
      <w:tabs>
        <w:tab w:val="right" w:pos="9072"/>
      </w:tabs>
      <w:spacing w:before="0" w:after="0"/>
    </w:pPr>
    <w:rPr>
      <w:sz w:val="18"/>
    </w:rPr>
  </w:style>
  <w:style w:type="paragraph" w:customStyle="1" w:styleId="InternalHeader">
    <w:name w:val="Internal Header"/>
    <w:basedOn w:val="Normal"/>
    <w:rsid w:val="00B51191"/>
    <w:pPr>
      <w:jc w:val="center"/>
    </w:pPr>
    <w:rPr>
      <w:b/>
    </w:rPr>
  </w:style>
  <w:style w:type="paragraph" w:customStyle="1" w:styleId="InternalListNumber">
    <w:name w:val="Internal List Number"/>
    <w:basedOn w:val="Normal"/>
    <w:rsid w:val="00B51191"/>
    <w:pPr>
      <w:numPr>
        <w:numId w:val="2"/>
      </w:numPr>
      <w:spacing w:before="240"/>
    </w:pPr>
  </w:style>
  <w:style w:type="paragraph" w:customStyle="1" w:styleId="InternalSubheading">
    <w:name w:val="Internal Subheading"/>
    <w:basedOn w:val="Normal"/>
    <w:rsid w:val="00B51191"/>
    <w:pPr>
      <w:jc w:val="center"/>
    </w:pPr>
    <w:rPr>
      <w:b/>
    </w:rPr>
  </w:style>
  <w:style w:type="paragraph" w:customStyle="1" w:styleId="ListBullet1">
    <w:name w:val="List Bullet 1"/>
    <w:basedOn w:val="Normal"/>
    <w:rsid w:val="00B51191"/>
    <w:pPr>
      <w:tabs>
        <w:tab w:val="num" w:pos="709"/>
      </w:tabs>
      <w:spacing w:before="0"/>
      <w:ind w:left="709" w:hanging="709"/>
    </w:pPr>
  </w:style>
  <w:style w:type="paragraph" w:customStyle="1" w:styleId="Normalsingle">
    <w:name w:val="Normal single"/>
    <w:basedOn w:val="Normal"/>
    <w:rsid w:val="00B51191"/>
    <w:pPr>
      <w:spacing w:before="0" w:after="0"/>
    </w:pPr>
  </w:style>
  <w:style w:type="character" w:styleId="PageNumber">
    <w:name w:val="page number"/>
    <w:basedOn w:val="DefaultParagraphFont"/>
    <w:rsid w:val="00B51191"/>
    <w:rPr>
      <w:rFonts w:ascii="Verdana" w:hAnsi="Verdana"/>
      <w:sz w:val="18"/>
    </w:rPr>
  </w:style>
  <w:style w:type="paragraph" w:styleId="Subtitle">
    <w:name w:val="Subtitle"/>
    <w:basedOn w:val="Normal"/>
    <w:qFormat/>
    <w:rsid w:val="00B51191"/>
    <w:pPr>
      <w:jc w:val="center"/>
    </w:pPr>
    <w:rPr>
      <w:rFonts w:cs="Arial"/>
      <w:b/>
      <w:sz w:val="24"/>
      <w:szCs w:val="24"/>
    </w:rPr>
  </w:style>
  <w:style w:type="paragraph" w:styleId="Title">
    <w:name w:val="Title"/>
    <w:basedOn w:val="Normal"/>
    <w:qFormat/>
    <w:rsid w:val="00B51191"/>
    <w:pPr>
      <w:jc w:val="center"/>
    </w:pPr>
    <w:rPr>
      <w:rFonts w:cs="Arial"/>
      <w:b/>
      <w:bCs/>
      <w:sz w:val="32"/>
      <w:szCs w:val="32"/>
    </w:rPr>
  </w:style>
  <w:style w:type="paragraph" w:styleId="TOC1">
    <w:name w:val="toc 1"/>
    <w:basedOn w:val="Normal"/>
    <w:next w:val="Normal"/>
    <w:autoRedefine/>
    <w:semiHidden/>
    <w:rsid w:val="00B51191"/>
    <w:pPr>
      <w:tabs>
        <w:tab w:val="right" w:pos="9072"/>
      </w:tabs>
      <w:spacing w:before="80" w:after="80"/>
    </w:pPr>
    <w:rPr>
      <w:b/>
    </w:rPr>
  </w:style>
  <w:style w:type="paragraph" w:styleId="TOC2">
    <w:name w:val="toc 2"/>
    <w:basedOn w:val="Normal"/>
    <w:next w:val="Normal"/>
    <w:autoRedefine/>
    <w:semiHidden/>
    <w:rsid w:val="00B51191"/>
    <w:pPr>
      <w:tabs>
        <w:tab w:val="right" w:pos="9072"/>
      </w:tabs>
      <w:spacing w:before="80" w:after="80"/>
    </w:pPr>
  </w:style>
  <w:style w:type="table" w:styleId="TableGrid">
    <w:name w:val="Table Grid"/>
    <w:basedOn w:val="TableNormal"/>
    <w:rsid w:val="00B51191"/>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B51191"/>
    <w:rPr>
      <w:i/>
      <w:iCs/>
    </w:rPr>
  </w:style>
  <w:style w:type="character" w:styleId="Hyperlink">
    <w:name w:val="Hyperlink"/>
    <w:basedOn w:val="DefaultParagraphFont"/>
    <w:rsid w:val="00B51191"/>
    <w:rPr>
      <w:rFonts w:ascii="Verdana" w:hAnsi="Verdana"/>
      <w:color w:val="0000FF"/>
      <w:sz w:val="20"/>
      <w:u w:val="single"/>
    </w:rPr>
  </w:style>
  <w:style w:type="paragraph" w:customStyle="1" w:styleId="Hidden">
    <w:name w:val="Hidden"/>
    <w:basedOn w:val="Normal"/>
    <w:link w:val="HiddenChar"/>
    <w:rsid w:val="00B51191"/>
    <w:rPr>
      <w:vanish/>
    </w:rPr>
  </w:style>
  <w:style w:type="character" w:customStyle="1" w:styleId="HiddenChar">
    <w:name w:val="Hidden Char"/>
    <w:basedOn w:val="DefaultParagraphFont"/>
    <w:link w:val="Hidden"/>
    <w:rsid w:val="00B51191"/>
    <w:rPr>
      <w:rFonts w:ascii="Verdana" w:hAnsi="Verdana"/>
      <w:color w:val="FFFFFF"/>
      <w:sz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92709CF3B0DD469CDDDBE57147FD28" ma:contentTypeVersion="23" ma:contentTypeDescription="Create a new document." ma:contentTypeScope="" ma:versionID="a0cbef20991e79092bf69914346fe330">
  <xsd:schema xmlns:xsd="http://www.w3.org/2001/XMLSchema" xmlns:xs="http://www.w3.org/2001/XMLSchema" xmlns:p="http://schemas.microsoft.com/office/2006/metadata/properties" xmlns:ns2="03587689-6363-4595-8fce-46d91eec81df" xmlns:ns3="e346091b-32e4-4b1a-81f9-3e70bc986948" targetNamespace="http://schemas.microsoft.com/office/2006/metadata/properties" ma:root="true" ma:fieldsID="ce759a77875c0b903ae0d41e3993f1ed" ns2:_="" ns3:_="">
    <xsd:import namespace="03587689-6363-4595-8fce-46d91eec81df"/>
    <xsd:import namespace="e346091b-32e4-4b1a-81f9-3e70bc986948"/>
    <xsd:element name="properties">
      <xsd:complexType>
        <xsd:sequence>
          <xsd:element name="documentManagement">
            <xsd:complexType>
              <xsd:all>
                <xsd:element ref="ns2:Action" minOccurs="0"/>
                <xsd:element ref="ns2:STATUS" minOccurs="0"/>
                <xsd:element ref="ns2:CM10Referenc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NOT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87689-6363-4595-8fce-46d91eec81df" elementFormDefault="qualified">
    <xsd:import namespace="http://schemas.microsoft.com/office/2006/documentManagement/types"/>
    <xsd:import namespace="http://schemas.microsoft.com/office/infopath/2007/PartnerControls"/>
    <xsd:element name="Action" ma:index="3" nillable="true" ma:displayName="Action " ma:format="Dropdown" ma:internalName="Action" ma:readOnly="false">
      <xsd:simpleType>
        <xsd:restriction base="dms:Note">
          <xsd:maxLength value="255"/>
        </xsd:restriction>
      </xsd:simpleType>
    </xsd:element>
    <xsd:element name="STATUS" ma:index="4" nillable="true" ma:displayName="STATUS" ma:format="Dropdown" ma:internalName="STATUS" ma:readOnly="false">
      <xsd:simpleType>
        <xsd:restriction base="dms:Text">
          <xsd:maxLength value="255"/>
        </xsd:restriction>
      </xsd:simpleType>
    </xsd:element>
    <xsd:element name="CM10Reference" ma:index="5" nillable="true" ma:displayName="CM10 Reference" ma:format="Dropdown" ma:internalName="CM10Reference"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774b8b1-cdcf-4e04-afe7-5ae7905299b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Location" ma:index="26" nillable="true" ma:displayName="Location" ma:hidden="true" ma:indexed="true" ma:internalName="MediaServiceLocation" ma:readOnly="true">
      <xsd:simpleType>
        <xsd:restriction base="dms:Text"/>
      </xsd:simpleType>
    </xsd:element>
    <xsd:element name="NOTES" ma:index="28" nillable="true" ma:displayName="NOTES" ma:format="Dropdown" ma:internalName="NOTES">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346091b-32e4-4b1a-81f9-3e70bc986948"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833114cb-3009-4db2-8087-c4819728c1b0}" ma:internalName="TaxCatchAll" ma:readOnly="false" ma:showField="CatchAllData" ma:web="e346091b-32e4-4b1a-81f9-3e70bc9869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3587689-6363-4595-8fce-46d91eec81df">
      <Terms xmlns="http://schemas.microsoft.com/office/infopath/2007/PartnerControls"/>
    </lcf76f155ced4ddcb4097134ff3c332f>
    <TaxCatchAll xmlns="e346091b-32e4-4b1a-81f9-3e70bc986948" xsi:nil="true"/>
    <CM10Reference xmlns="03587689-6363-4595-8fce-46d91eec81df" xsi:nil="true"/>
    <NOTES xmlns="03587689-6363-4595-8fce-46d91eec81df" xsi:nil="true"/>
    <Action xmlns="03587689-6363-4595-8fce-46d91eec81df" xsi:nil="true"/>
    <STATUS xmlns="03587689-6363-4595-8fce-46d91eec81df" xsi:nil="true"/>
  </documentManagement>
</p:properties>
</file>

<file path=customXml/itemProps1.xml><?xml version="1.0" encoding="utf-8"?>
<ds:datastoreItem xmlns:ds="http://schemas.openxmlformats.org/officeDocument/2006/customXml" ds:itemID="{4AB5EB22-5EE3-47B7-900A-6AA772273764}">
  <ds:schemaRefs>
    <ds:schemaRef ds:uri="http://schemas.microsoft.com/sharepoint/v3/contenttype/forms"/>
  </ds:schemaRefs>
</ds:datastoreItem>
</file>

<file path=customXml/itemProps2.xml><?xml version="1.0" encoding="utf-8"?>
<ds:datastoreItem xmlns:ds="http://schemas.openxmlformats.org/officeDocument/2006/customXml" ds:itemID="{31CDF248-B110-4694-B62F-C1A6B484E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87689-6363-4595-8fce-46d91eec81df"/>
    <ds:schemaRef ds:uri="e346091b-32e4-4b1a-81f9-3e70bc9869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96472-E3AE-42EB-99F0-152AC9E3AEC8}">
  <ds:schemaRefs>
    <ds:schemaRef ds:uri="http://schemas.openxmlformats.org/officeDocument/2006/bibliography"/>
  </ds:schemaRefs>
</ds:datastoreItem>
</file>

<file path=customXml/itemProps4.xml><?xml version="1.0" encoding="utf-8"?>
<ds:datastoreItem xmlns:ds="http://schemas.openxmlformats.org/officeDocument/2006/customXml" ds:itemID="{8A3634DF-F128-4863-8C6A-5EA6469B5FA9}">
  <ds:schemaRefs>
    <ds:schemaRef ds:uri="http://schemas.microsoft.com/office/2006/metadata/properties"/>
    <ds:schemaRef ds:uri="http://schemas.microsoft.com/office/infopath/2007/PartnerControls"/>
    <ds:schemaRef ds:uri="03587689-6363-4595-8fce-46d91eec81df"/>
    <ds:schemaRef ds:uri="e346091b-32e4-4b1a-81f9-3e70bc986948"/>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Rianna Cawley</dc:creator>
  <cp:keywords/>
  <dc:description/>
  <cp:lastModifiedBy>Rianna Cawley</cp:lastModifiedBy>
  <cp:revision>7</cp:revision>
  <dcterms:created xsi:type="dcterms:W3CDTF">2025-03-20T23:37:00Z</dcterms:created>
  <dcterms:modified xsi:type="dcterms:W3CDTF">2025-03-21T00:23:00Z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0x010100A592709CF3B0DD469CDDDBE57147FD28</vt:lpwstr>
  </property>
</Properties>
</file>