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</w:t>
      </w:r>
      <w:r w:rsidRPr="00DA60A8">
        <w:rPr>
          <w:strike/>
          <w:color w:val="7F7F7F" w:themeColor="text1" w:themeTint="80"/>
        </w:rPr>
        <w:t>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bookmarkStart w:id="0" w:name="_GoBack"/>
      <w:bookmarkEnd w:id="0"/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212B"/>
    <w:rsid w:val="001E29D6"/>
    <w:rsid w:val="001E46BF"/>
    <w:rsid w:val="001E7E4B"/>
    <w:rsid w:val="001F54CD"/>
    <w:rsid w:val="001F5D56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140"/>
    <w:rsid w:val="003416AC"/>
    <w:rsid w:val="00341ABF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41</Pages>
  <Words>5613</Words>
  <Characters>31996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174</cp:revision>
  <dcterms:created xsi:type="dcterms:W3CDTF">2016-07-08T16:28:00Z</dcterms:created>
  <dcterms:modified xsi:type="dcterms:W3CDTF">2016-07-28T15:56:00Z</dcterms:modified>
</cp:coreProperties>
</file>