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drawing.drawBoard(board,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drawing.drawBoard(board,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moveCursorBy(0,0);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 onload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>odify the onkeydown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 = model.GameManager;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squareSide: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canvas: HTMLCanvasElement;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game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placePiece(Side.black);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placePiece(Side.white);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game.placePiece(cursorLocation);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now redundant placePiece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placePiece(side: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cursorLocation.occupiedBy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moveCursorBy(0,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updateStatus():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Side.black: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Side.white: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updateText(game: GameManager)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Call this from within onload…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game.placePiece(cursorLocation);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.board.wouldBeValidMove(sq))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cursorColour = board.wouldBeValidMove(cursorLocation)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 cursorColour,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lastRenderedPageBreak/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//of the given square  -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getAdjacentSquares(sq: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- 1; col &lt;= sq.col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- 1; row &lt;= sq.row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sq)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neighbours.push(neighbour);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 xml:space="preserve">Write a function to </w:t>
      </w:r>
      <w:r>
        <w:t>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isAdjacentToPiece(sq: Square, piece: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.getAdjacentSquares(sq);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_.some(neighbours, sq =&gt; sq.occupiedBy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.isAdjacentToPiece(sq,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game.turn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We need to be testing for adjacency to piece of the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oppositeSide: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Side.black)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Side.white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Side.black;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, oppositeSide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oppositeSideTo(side: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 ? Side.white : Side.black;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== Side.black)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Side.white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Side.black;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 = oppositeSideTo(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r>
        <w:t>and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</w:t>
      </w:r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bookmarkStart w:id="0" w:name="_GoBack"/>
      <w:bookmarkEnd w:id="0"/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387308">
        <w:rPr>
          <w:rFonts w:ascii="Consolas" w:hAnsi="Consolas" w:cs="Consolas"/>
          <w:color w:val="000000"/>
          <w:sz w:val="19"/>
          <w:szCs w:val="19"/>
        </w:rPr>
        <w:t xml:space="preserve"> squaresNorthFrom(location: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board.squaresNorthFrom(cursorLocation);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_.forEach(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drawing.drawSquareOutline(n,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387308"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dir: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sq: Square =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.getSquare(location.col, location.row - i);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(dir)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Direction.north: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.getSquare(location.col, location.row - i);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Direction.east: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 + i, location.row);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capturedSquares(placement: Square, side: Side, dir: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.squaresFrom(placement, dir);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i &lt; squares.length; i++)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squares[i];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coveredSquares.push(sq);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(cursorLocation, game.turn, model.Direction.north)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_.forEach(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drawing.drawSquareOutline(n,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allCapturedSquares(placement: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toAdd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_.forEach(toAdd, sq =&gt; results.push(sq));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board.allCapturedSquares(cursorLocation, game.turn)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_.forEach(captured, n =&gt; drawing.drawSquareOutline(n,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</w:p>
    <w:p w:rsidR="00BA2AA9" w:rsidRDefault="001E01F6" w:rsidP="00CC1F24">
      <w:pPr>
        <w:pStyle w:val="Heading1"/>
      </w:pPr>
      <w:r>
        <w:t>12.</w:t>
      </w:r>
      <w:r w:rsidR="00BA2AA9">
        <w:t>Move only valid if pieces are captured</w:t>
      </w:r>
    </w:p>
    <w:p w:rsidR="00EF0FE5" w:rsidRDefault="00EF0FE5" w:rsidP="008976E3">
      <w:pPr>
        <w:pStyle w:val="Heading1"/>
      </w:pPr>
      <w:r>
        <w:t xml:space="preserve">Captured pieces flipped automatically 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12101"/>
    <w:rsid w:val="00114F58"/>
    <w:rsid w:val="00122E8A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819C1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A6A79"/>
    <w:rsid w:val="003A7EDE"/>
    <w:rsid w:val="003B5A3A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9F5449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1682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0729"/>
    <w:rsid w:val="00E929EB"/>
    <w:rsid w:val="00EA6911"/>
    <w:rsid w:val="00EB23A9"/>
    <w:rsid w:val="00EB286D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19</Pages>
  <Words>4241</Words>
  <Characters>24178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99</cp:revision>
  <dcterms:created xsi:type="dcterms:W3CDTF">2016-07-08T16:28:00Z</dcterms:created>
  <dcterms:modified xsi:type="dcterms:W3CDTF">2016-07-26T12:07:00Z</dcterms:modified>
</cp:coreProperties>
</file>