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0"/>
        </w:rPr>
        <w:t>SORTVIEW</w:t>
      </w:r>
    </w:p>
    <w:p>
      <w:pPr>
        <w:pStyle w:val="Title"/>
        <w:jc w:val="center"/>
      </w:pPr>
      <w:r>
        <w:t>Internal Customer Provisioning Checklist</w:t>
      </w:r>
    </w:p>
    <w:p>
      <w:pPr>
        <w:jc w:val="center"/>
      </w:pPr>
      <w:r>
        <w:rPr>
          <w:b/>
          <w:sz w:val="22"/>
        </w:rPr>
        <w:t>Collector v1.0.2 - Pilot / Assisted Onboarding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072"/>
            <w:shd w:fill="EEF4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 xml:space="preserve">INTERNAL ONLY. </w:t>
            </w:r>
            <w:r>
              <w:t>Do not send this checklist to customers. It contains operational provisioning steps and credential-handling rules.</w:t>
            </w:r>
          </w:p>
        </w:tc>
      </w:tr>
    </w:tbl>
    <w:p>
      <w:pPr>
        <w:spacing w:after="0"/>
      </w:pPr>
    </w:p>
    <w:p>
      <w:pPr>
        <w:pStyle w:val="Heading1"/>
      </w:pPr>
      <w:r>
        <w:t>Customer Provisioning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Organization / Library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____________________________________________</w:t>
            </w:r>
          </w:p>
        </w:tc>
      </w:tr>
      <w:tr>
        <w:tc>
          <w:tcPr>
            <w:tcW w:type="dxa" w:w="511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Primary Contact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____________________________________________</w:t>
            </w:r>
          </w:p>
        </w:tc>
      </w:tr>
      <w:tr>
        <w:tc>
          <w:tcPr>
            <w:tcW w:type="dxa" w:w="511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Technical Contact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____________________________________________</w:t>
            </w:r>
          </w:p>
        </w:tc>
      </w:tr>
      <w:tr>
        <w:tc>
          <w:tcPr>
            <w:tcW w:type="dxa" w:w="511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Branch Name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____________________________________________</w:t>
            </w:r>
          </w:p>
        </w:tc>
      </w:tr>
      <w:tr>
        <w:tc>
          <w:tcPr>
            <w:tcW w:type="dxa" w:w="511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SaaS Organization ID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____________________________________________</w:t>
            </w:r>
          </w:p>
        </w:tc>
      </w:tr>
      <w:tr>
        <w:tc>
          <w:tcPr>
            <w:tcW w:type="dxa" w:w="511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SaaS Branch ID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____________________________________________</w:t>
            </w:r>
          </w:p>
        </w:tc>
      </w:tr>
      <w:tr>
        <w:tc>
          <w:tcPr>
            <w:tcW w:type="dxa" w:w="5112"/>
          </w:tcPr>
          <w:p>
            <w:r>
              <w:t>Operational Customer ID</w:t>
            </w:r>
          </w:p>
        </w:tc>
        <w:tc>
          <w:tcPr>
            <w:tcW w:type="dxa" w:w="5112"/>
          </w:tcPr>
          <w:p>
            <w:r>
              <w:t>____________________________________________</w:t>
            </w:r>
          </w:p>
        </w:tc>
      </w:tr>
      <w:tr>
        <w:tc>
          <w:tcPr>
            <w:tcW w:type="dxa" w:w="5112"/>
          </w:tcPr>
          <w:p>
            <w:r>
              <w:t>Operational Branch ID</w:t>
            </w:r>
          </w:p>
        </w:tc>
        <w:tc>
          <w:tcPr>
            <w:tcW w:type="dxa" w:w="5112"/>
          </w:tcPr>
          <w:p>
            <w:r>
              <w:t>____________________________________________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Plan / Subscription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____________________________________________</w:t>
            </w:r>
          </w:p>
        </w:tc>
      </w:tr>
      <w:tr>
        <w:tc>
          <w:tcPr>
            <w:tcW w:type="dxa" w:w="511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Collector Version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1.0.2</w:t>
            </w:r>
          </w:p>
        </w:tc>
      </w:tr>
      <w:tr>
        <w:tc>
          <w:tcPr>
            <w:tcW w:type="dxa" w:w="511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API URL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https://sortview-app-2p336.ondigitalocean.app</w:t>
            </w:r>
          </w:p>
        </w:tc>
      </w:tr>
      <w:tr>
        <w:tc>
          <w:tcPr>
            <w:tcW w:type="dxa" w:w="511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Onboarding Date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____________________________________________</w:t>
            </w:r>
          </w:p>
        </w:tc>
      </w:tr>
    </w:tbl>
    <w:p>
      <w:pPr>
        <w:pStyle w:val="Heading1"/>
      </w:pPr>
      <w:r>
        <w:t>1. Confirm Commercial / Account Readiness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Confirm payment, pilot agreement, or approved internal start condition is complete.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Confirm the library name, branch name, and technical contact exactly as they should appear in SortView.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Confirm the customer understands that initial onboarding is assisted and requires Windows administrator access on the Collector machine.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Confirm the target machine is the Windows computer that receives the Tech Logic AMH log files.</w:t>
      </w:r>
    </w:p>
    <w:p>
      <w:pPr>
        <w:pStyle w:val="Heading1"/>
      </w:pPr>
      <w:r>
        <w:t>2. Create / Verify Tenant Records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Create the SortView organization for the customer, or verify the existing organization is the correct one.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Create the branch record, or verify the existing branch belongs to the correct organization.</w:t>
      </w:r>
    </w:p>
    <w:p>
      <w:pPr>
        <w:pStyle w:val="Checklist"/>
      </w:pPr>
      <w:r>
        <w:rPr>
          <w:rFonts w:ascii="Segoe UI Symbol" w:hAnsi="Segoe UI Symbol"/>
        </w:rPr>
        <w:t>☐ Record the SaaS Organization ID / SaaS Branch ID and the assigned Operational Customer ID / Operational Branch ID in the provisioning record above.</w:t>
      </w:r>
      <w:r>
        <w:rPr>
          <w:b w:val="0"/>
        </w:rPr>
      </w:r>
    </w:p>
    <w:p>
      <w:pPr>
        <w:pStyle w:val="Checklist"/>
      </w:pPr>
      <w:r>
        <w:t>☐ Assign operational identity before generating Collector configuration or credentials. The organization must map to a real customers.id, and the branch operational_branch_id must map to that branch.</w:t>
      </w:r>
    </w:p>
    <w:p>
      <w:pPr>
        <w:pStyle w:val="Checklist"/>
      </w:pPr>
      <w:r>
        <w:t>☐ Confirm the operational mapping is complete and unambiguous: organizations.operational_customer_id is non-null, the mapped customer exists, and the branch belongs to the same organization.</w:t>
      </w:r>
    </w:p>
    <w:p>
      <w:pPr>
        <w:pStyle w:val="Checklist"/>
      </w:pPr>
      <w:r>
        <w:t>☐ Confirm organization status is Active or Trial and the branch status is Active before generating a production Collector token.</w:t>
      </w:r>
    </w:p>
    <w:p>
      <w:pPr>
        <w:pStyle w:val="Checklist"/>
      </w:pPr>
      <w:r>
        <w:t>☐ Create or verify the collector_installation record for this branch. Record the intended installation name, hostname when known, Collector version 1.0.2, and provisioning status until live validation is complete.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Confirm the organization/branch status is appropriate for onboarding.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Confirm the selected plan/subscription record is present and associated with the intended organization.</w:t>
      </w:r>
    </w:p>
    <w:p>
      <w:pPr>
        <w:pStyle w:val="Heading1"/>
      </w:pPr>
      <w:r>
        <w:t>3. Generate a Branch-Scoped Collector Token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Generate a new Collector token specifically for this installation. Do not reuse a token from another branch or customer.</w:t>
      </w:r>
    </w:p>
    <w:p>
      <w:pPr>
        <w:pStyle w:val="Checklist"/>
      </w:pPr>
      <w:r>
        <w:rPr>
          <w:rFonts w:ascii="Segoe UI Symbol" w:hAnsi="Segoe UI Symbol"/>
        </w:rPr>
        <w:t>☐ Confirm the token is scoped to the intended Operational Customer ID and Operational Branch ID. Do not use SaaS organization/branch IDs as a fallback.</w:t>
      </w:r>
      <w:r>
        <w:rPr>
          <w:b w:val="0"/>
        </w:rPr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Use a description that identifies the customer, branch, machine/purpose, and onboarding context.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Copy the raw token once into a secure temporary credential-transfer method. Do not place it in the ZIP, guide, ticket notes, screenshots, or ordinary email.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If the raw token is exposed in chat, email, screenshots, or other insecure locations, deactivate that token and issue a replacement before installation.</w:t>
      </w:r>
    </w:p>
    <w:p>
      <w:pPr>
        <w:pStyle w:val="Heading1"/>
      </w:pPr>
      <w:r>
        <w:t>4. Prepare the Customer Handoff Package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Provide SortViewCollector-1.0.2.zip.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Provide the SortView Collector 1.0.2 Customer Installation Guide.</w:t>
      </w:r>
    </w:p>
    <w:p>
      <w:pPr>
        <w:pStyle w:val="Checklist"/>
      </w:pPr>
      <w:r>
        <w:rPr>
          <w:rFonts w:ascii="Segoe UI Symbol" w:hAnsi="Segoe UI Symbol"/>
        </w:rPr>
        <w:t>☐ Provide the Operational Customer ID and Operational Branch ID used by the Collector.</w:t>
      </w:r>
      <w:r>
        <w:rPr>
          <w:b w:val="0"/>
        </w:rPr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Provide the production API URL.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Provide the release SHA-256 so the customer can verify the download.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Provide the Collector API token separately and securely.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Confirm the customer/technician knows the three Tech Logic source paths: Checkins, Rejects, and ACS Log.</w:t>
      </w:r>
    </w:p>
    <w:p>
      <w:pPr>
        <w:pStyle w:val="Heading1"/>
      </w:pPr>
      <w:r>
        <w:t>5. Verify Release Identity Before Handoff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Confirm the customer package is exactly SortViewCollector-1.0.2.zip.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Confirm the SHA-256 matches the validated release fingerprint below.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Do not modify, re-zip, or replace files inside the validated package after hashing.</w:t>
      </w:r>
    </w:p>
    <w:p>
      <w:pPr>
        <w:pStyle w:val="Heading1"/>
      </w:pPr>
      <w:r>
        <w:t>6. Assisted Installation Checkpoint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Confirm the technician opened an elevated Windows PowerShell session.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Confirm they changed into the extracted folder that actually contains install.ps1. Nested extraction folders are acceptable.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Confirm install.ps1 reports FROZEN bundle and manifest verification success.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Confirm set-api-token.ps1 stores the token at Machine scope and the raw token is not printed or recorded.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Confirm finish-install.ps1 is used for guided setup.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If interactive preflight fails, fix the named issue and rerun finish-install.ps1; do not reinstall unless the installer itself failed.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Confirm both interactive preflight and SYSTEM-context preflight report PASS.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Confirm bootstrap seeds all configured sources before the task is enabled.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Confirm the Scheduled Task is initially registered Disabled.</w:t>
      </w:r>
    </w:p>
    <w:p>
      <w:pPr>
        <w:pStyle w:val="Heading1"/>
      </w:pPr>
      <w:r>
        <w:t>7. First Production Run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After all preflight and bootstrap checks pass, have the technician enable the SortView Collector Scheduled Task.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Trigger one immediate run or wait for the next scheduled trigger.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Confirm LastTaskResult = 0.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Inspect status.json and confirm the run completed successfully or completed_no_new_rows.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Confirm sources_missing, sources_rotated, and sources_truncated are empty unless a known operational event explains them.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Leave the Scheduled Task enabled for a production customer after successful validation.</w:t>
      </w:r>
    </w:p>
    <w:p>
      <w:pPr>
        <w:pStyle w:val="Heading1"/>
      </w:pPr>
      <w:r>
        <w:t>8. Backend / Dashboard Confirmation</w:t>
      </w:r>
    </w:p>
    <w:p>
      <w:pPr>
        <w:pStyle w:val="Checklist"/>
      </w:pPr>
      <w:r>
        <w:rPr>
          <w:rFonts w:ascii="Segoe UI Symbol" w:hAnsi="Segoe UI Symbol"/>
        </w:rPr>
        <w:t>☐ Confirm the expected operational customer/branch begins reporting data or healthy pipeline status.</w:t>
      </w:r>
      <w:r>
        <w:rPr>
          <w:b w:val="0"/>
        </w:rPr>
      </w:r>
    </w:p>
    <w:p>
      <w:pPr>
        <w:pStyle w:val="Checklist"/>
      </w:pPr>
      <w:r>
        <w:rPr>
          <w:rFonts w:ascii="Segoe UI Symbol" w:hAnsi="Segoe UI Symbol"/>
        </w:rPr>
        <w:t>☐ Confirm uploaded data is associated with the correct Operational Customer ID and Operational Branch ID.</w:t>
      </w:r>
      <w:r>
        <w:rPr>
          <w:b w:val="0"/>
        </w:rPr>
      </w:r>
    </w:p>
    <w:p>
      <w:pPr>
        <w:pStyle w:val="Checklist"/>
      </w:pPr>
      <w:r>
        <w:rPr>
          <w:rFonts w:ascii="Segoe UI Symbol" w:hAnsi="Segoe UI Symbol"/>
        </w:rPr>
        <w:t>☐ Confirm no other operational customer/branch received the test data.</w:t>
      </w:r>
      <w:r>
        <w:rPr>
          <w:b w:val="0"/>
        </w:rPr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Record the successful first-run timestamp and any relevant support notes.</w:t>
      </w:r>
    </w:p>
    <w:p>
      <w:pPr>
        <w:pStyle w:val="Heading1"/>
      </w:pPr>
      <w:r>
        <w:t>9. Closeout and Credential Hygiene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Deactivate any temporary, exposed, superseded, or failed-install tokens.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Leave only the intended active production Collector token for that installation.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Do not retain the raw token in personal notes, chat logs, screenshots, or unencrypted files.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Confirm the customer has the installation guide and knows how to contact support.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Record final onboarding status and date.</w:t>
      </w:r>
    </w:p>
    <w:p>
      <w:pPr>
        <w:pStyle w:val="Heading2"/>
      </w:pPr>
      <w:r>
        <w:t>Administrative suspension / reactivation reference</w:t>
      </w:r>
    </w:p>
    <w:p>
      <w:pPr>
        <w:pStyle w:val="Checklist"/>
      </w:pPr>
      <w:r>
        <w:t>☐ Suspend Library is a reversible tenant-wide control: it sets organization status to Suspended and blocks Collector uploads/heartbeats without deleting mappings, installations, historical data, subscriptions, or tokens.</w:t>
      </w:r>
    </w:p>
    <w:p>
      <w:pPr>
        <w:pStyle w:val="Checklist"/>
      </w:pPr>
      <w:r>
        <w:t>☐ Reactivation returns a Suspended organization to Active. It does not reactivate any token that was separately deactivated, and it does not change branch status.</w:t>
      </w:r>
    </w:p>
    <w:p>
      <w:pPr>
        <w:pStyle w:val="Checklist"/>
      </w:pPr>
      <w:r>
        <w:t>☐ Cancelled organizations are not reactivated by the normal Reactivate Library action.</w:t>
      </w:r>
    </w:p>
    <w:p>
      <w:pPr>
        <w:pStyle w:val="Checklist"/>
      </w:pPr>
      <w:r>
        <w:t>☐ Suspended and Cancelled organizations are intentionally excluded from pipeline-health stale/never-reported alerts.</w:t>
      </w:r>
    </w:p>
    <w:p>
      <w:pPr>
        <w:pStyle w:val="Heading1"/>
      </w:pPr>
      <w:r>
        <w:t>Validated Release Fingerprint</w:t>
      </w:r>
    </w:p>
    <w:p>
      <w:pPr>
        <w:pStyle w:val="CodeBlock"/>
      </w:pPr>
      <w:r>
        <w:t>Version: 1.0.2</w:t>
        <w:br/>
        <w:t>SHA-256: 28C2C4885F21B16B80920B8B7D721858EB36A6B4AE9EC9197D5FF6E465540A44</w:t>
        <w:br/>
        <w:t>API URL: https://sortview-app-2p336.ondigitalocean.app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072"/>
            <w:shd w:fill="EEF4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 xml:space="preserve">RULE. </w:t>
            </w:r>
            <w:r>
              <w:t>If the customer ZIP hash does not match this validated release, stop and verify the package before installation.</w:t>
            </w:r>
          </w:p>
        </w:tc>
      </w:tr>
    </w:tbl>
    <w:p>
      <w:pPr>
        <w:spacing w:after="0"/>
      </w:pPr>
    </w:p>
    <w:p>
      <w:pPr>
        <w:pStyle w:val="Heading1"/>
      </w:pPr>
      <w:r>
        <w:t>Stop Conditions - Do Not Proceed</w:t>
      </w:r>
    </w:p>
    <w:p>
      <w:pPr>
        <w:pStyle w:val="Checklist"/>
      </w:pPr>
      <w:r>
        <w:rPr>
          <w:rFonts w:ascii="Segoe UI Symbol" w:hAnsi="Segoe UI Symbol"/>
        </w:rPr>
        <w:t>☐ Operational Customer ID or Operational Branch ID is uncertain, unmapped, or does not match the intended tenant.</w:t>
      </w:r>
      <w:r>
        <w:rPr>
          <w:b w:val="0"/>
        </w:rPr>
      </w:r>
    </w:p>
    <w:p>
      <w:pPr>
        <w:pStyle w:val="Checklist"/>
      </w:pPr>
      <w:r>
        <w:rPr>
          <w:rFonts w:ascii="Segoe UI Symbol" w:hAnsi="Segoe UI Symbol"/>
        </w:rPr>
        <w:t>☐ Token scope does not match the intended Operational Customer ID / Operational Branch ID.</w:t>
      </w:r>
      <w:r>
        <w:rPr>
          <w:b w:val="0"/>
        </w:rPr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Any preflight check reports FAIL.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The configured source files do not exist or SYSTEM cannot read them.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Bootstrap has not completed for every configured source.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The package hash does not match the validated release.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The technician asks to place DATABASE_URL, database credentials, or PostgreSQL drivers on the Collector machine.</w:t>
      </w:r>
    </w:p>
    <w:p>
      <w:pPr>
        <w:pStyle w:val="Checklist"/>
      </w:pPr>
      <w:r>
        <w:rPr>
          <w:rFonts w:ascii="Segoe UI Symbol" w:hAnsi="Segoe UI Symbol"/>
        </w:rPr>
        <w:t xml:space="preserve">☐ </w:t>
      </w:r>
      <w:r>
        <w:rPr>
          <w:b w:val="0"/>
        </w:rPr>
        <w:t>The raw API token has been exposed; rotate it first.</w:t>
      </w:r>
    </w:p>
    <w:p>
      <w:pPr>
        <w:pStyle w:val="Heading1"/>
      </w:pPr>
      <w:r>
        <w:t>Provisioning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Provisioned by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____________________________________________</w:t>
            </w:r>
          </w:p>
        </w:tc>
      </w:tr>
      <w:tr>
        <w:tc>
          <w:tcPr>
            <w:tcW w:type="dxa" w:w="511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Operational Customer / Branch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____________________________________________</w:t>
            </w:r>
          </w:p>
        </w:tc>
      </w:tr>
      <w:tr>
        <w:tc>
          <w:tcPr>
            <w:tcW w:type="dxa" w:w="511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Production token ID / description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____________________________________________</w:t>
            </w:r>
          </w:p>
        </w:tc>
      </w:tr>
      <w:tr>
        <w:tc>
          <w:tcPr>
            <w:tcW w:type="dxa" w:w="511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First successful run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____________________________________________</w:t>
            </w:r>
          </w:p>
        </w:tc>
      </w:tr>
      <w:tr>
        <w:tc>
          <w:tcPr>
            <w:tcW w:type="dxa" w:w="511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Dashboard verification completed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Yes / No</w:t>
            </w:r>
          </w:p>
        </w:tc>
      </w:tr>
      <w:tr>
        <w:tc>
          <w:tcPr>
            <w:tcW w:type="dxa" w:w="511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Notes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____________________________________________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SortView Internal Customer Provisioning Checklist | Collector v1.0.2 | Internal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60"/>
      <w:ind w:left="115" w:hanging="29"/>
    </w:pPr>
  </w:style>
  <w:style w:type="paragraph" w:customStyle="1" w:styleId="CodeBlock">
    <w:name w:val="Code Block"/>
    <w:pPr>
      <w:spacing w:before="60" w:after="100"/>
      <w:ind w:left="259" w:right="259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SortView Internal Customer Provisioning Checklist</dc:title>
  <dc:subject>Internal assisted onboarding checklist for SortView Collector v1.0.2</dc:subject>
  <dc:creator>SortView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