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rial" w:hAnsi="Arial"/>
          <w:b/>
          <w:color w:val="0F6173"/>
          <w:sz w:val="30"/>
        </w:rPr>
        <w:t>SORTVIEW</w:t>
      </w:r>
    </w:p>
    <w:p>
      <w:pPr>
        <w:pStyle w:val="Title"/>
        <w:jc w:val="center"/>
      </w:pPr>
      <w:r>
        <w:t>Collector 1.0.2</w:t>
      </w:r>
    </w:p>
    <w:p>
      <w:pPr>
        <w:pStyle w:val="Subtitle"/>
        <w:jc w:val="center"/>
      </w:pPr>
      <w:r>
        <w:t>Customer Installation Guide</w:t>
      </w:r>
    </w:p>
    <w:p>
      <w:pPr>
        <w:spacing w:before="120"/>
        <w:jc w:val="center"/>
      </w:pPr>
      <w:r>
        <w:rPr>
          <w:rFonts w:ascii="Arial" w:hAnsi="Arial"/>
          <w:color w:val="495B66"/>
          <w:sz w:val="22"/>
        </w:rPr>
        <w:t>Windows installation for Tech Logic AMH data collection</w:t>
      </w:r>
    </w:p>
    <w:tbl>
      <w:tblPr>
        <w:tblW w:type="auto" w:w="0"/>
        <w:jc w:val="center"/>
        <w:tblLayout w:type="fixed"/>
        <w:tblLook w:firstColumn="1" w:firstRow="1" w:lastColumn="0" w:lastRow="0" w:noHBand="0" w:noVBand="1" w:val="04A0"/>
      </w:tblPr>
      <w:tblGrid>
        <w:gridCol w:w="2232"/>
        <w:gridCol w:w="6480"/>
      </w:tblGrid>
      <w:tr>
        <w:tc>
          <w:tcPr>
            <w:tcW w:type="dxa" w:w="5083"/>
            <w:shd w:fill="EAF4F7"/>
            <w:tcMar>
              <w:top w:w="100" w:type="dxa"/>
              <w:start w:w="120" w:type="dxa"/>
              <w:bottom w:w="100" w:type="dxa"/>
              <w:end w:w="120" w:type="dxa"/>
            </w:tcMar>
          </w:tcPr>
          <w:p>
            <w:r>
              <w:rPr>
                <w:rFonts w:ascii="Arial" w:hAnsi="Arial"/>
                <w:b/>
                <w:color w:val="0F6173"/>
                <w:sz w:val="18"/>
              </w:rPr>
              <w:t>Release</w:t>
            </w:r>
          </w:p>
        </w:tc>
        <w:tc>
          <w:tcPr>
            <w:tcW w:type="dxa" w:w="5083"/>
            <w:shd w:fill="F8FAFB"/>
            <w:tcMar>
              <w:top w:w="100" w:type="dxa"/>
              <w:start w:w="120" w:type="dxa"/>
              <w:bottom w:w="100" w:type="dxa"/>
              <w:end w:w="120" w:type="dxa"/>
            </w:tcMar>
          </w:tcPr>
          <w:p>
            <w:r>
              <w:rPr>
                <w:rFonts w:ascii="Arial" w:hAnsi="Arial"/>
                <w:color w:val="232D32"/>
                <w:sz w:val="18"/>
              </w:rPr>
              <w:t>1.0.2</w:t>
            </w:r>
          </w:p>
        </w:tc>
      </w:tr>
      <w:tr>
        <w:tc>
          <w:tcPr>
            <w:tcW w:type="dxa" w:w="5083"/>
            <w:shd w:fill="EAF4F7"/>
            <w:tcMar>
              <w:top w:w="100" w:type="dxa"/>
              <w:start w:w="120" w:type="dxa"/>
              <w:bottom w:w="100" w:type="dxa"/>
              <w:end w:w="120" w:type="dxa"/>
            </w:tcMar>
          </w:tcPr>
          <w:p>
            <w:r>
              <w:rPr>
                <w:rFonts w:ascii="Arial" w:hAnsi="Arial"/>
                <w:b/>
                <w:color w:val="0F6173"/>
                <w:sz w:val="18"/>
              </w:rPr>
              <w:t>Package</w:t>
            </w:r>
          </w:p>
        </w:tc>
        <w:tc>
          <w:tcPr>
            <w:tcW w:type="dxa" w:w="5083"/>
            <w:shd w:fill="F8FAFB"/>
            <w:tcMar>
              <w:top w:w="100" w:type="dxa"/>
              <w:start w:w="120" w:type="dxa"/>
              <w:bottom w:w="100" w:type="dxa"/>
              <w:end w:w="120" w:type="dxa"/>
            </w:tcMar>
          </w:tcPr>
          <w:p>
            <w:r>
              <w:rPr>
                <w:rFonts w:ascii="Arial" w:hAnsi="Arial"/>
                <w:color w:val="232D32"/>
                <w:sz w:val="18"/>
              </w:rPr>
              <w:t>SortViewCollector-1.0.2.zip</w:t>
            </w:r>
          </w:p>
        </w:tc>
      </w:tr>
      <w:tr>
        <w:tc>
          <w:tcPr>
            <w:tcW w:type="dxa" w:w="5083"/>
            <w:shd w:fill="EAF4F7"/>
            <w:tcMar>
              <w:top w:w="100" w:type="dxa"/>
              <w:start w:w="120" w:type="dxa"/>
              <w:bottom w:w="100" w:type="dxa"/>
              <w:end w:w="120" w:type="dxa"/>
            </w:tcMar>
          </w:tcPr>
          <w:p>
            <w:r>
              <w:rPr>
                <w:rFonts w:ascii="Arial" w:hAnsi="Arial"/>
                <w:b/>
                <w:color w:val="0F6173"/>
                <w:sz w:val="18"/>
              </w:rPr>
              <w:t>SHA-256</w:t>
            </w:r>
          </w:p>
        </w:tc>
        <w:tc>
          <w:tcPr>
            <w:tcW w:type="dxa" w:w="5083"/>
            <w:shd w:fill="F8FAFB"/>
            <w:tcMar>
              <w:top w:w="100" w:type="dxa"/>
              <w:start w:w="120" w:type="dxa"/>
              <w:bottom w:w="100" w:type="dxa"/>
              <w:end w:w="120" w:type="dxa"/>
            </w:tcMar>
          </w:tcPr>
          <w:p>
            <w:r>
              <w:rPr>
                <w:rFonts w:ascii="Arial" w:hAnsi="Arial"/>
                <w:color w:val="232D32"/>
                <w:sz w:val="18"/>
              </w:rPr>
              <w:t>28C2C4885F21B16B80920B8B7D721858EB36A6B4AE9EC9197D5FF6E465540A44</w:t>
            </w:r>
          </w:p>
        </w:tc>
      </w:tr>
      <w:tr>
        <w:tc>
          <w:tcPr>
            <w:tcW w:type="dxa" w:w="5083"/>
            <w:shd w:fill="EAF4F7"/>
            <w:tcMar>
              <w:top w:w="100" w:type="dxa"/>
              <w:start w:w="120" w:type="dxa"/>
              <w:bottom w:w="100" w:type="dxa"/>
              <w:end w:w="120" w:type="dxa"/>
            </w:tcMar>
          </w:tcPr>
          <w:p>
            <w:r>
              <w:rPr>
                <w:rFonts w:ascii="Arial" w:hAnsi="Arial"/>
                <w:b/>
                <w:color w:val="0F6173"/>
                <w:sz w:val="18"/>
              </w:rPr>
              <w:t>Architecture</w:t>
            </w:r>
          </w:p>
        </w:tc>
        <w:tc>
          <w:tcPr>
            <w:tcW w:type="dxa" w:w="5083"/>
            <w:shd w:fill="F8FAFB"/>
            <w:tcMar>
              <w:top w:w="100" w:type="dxa"/>
              <w:start w:w="120" w:type="dxa"/>
              <w:bottom w:w="100" w:type="dxa"/>
              <w:end w:w="120" w:type="dxa"/>
            </w:tcMar>
          </w:tcPr>
          <w:p>
            <w:r>
              <w:rPr>
                <w:rFonts w:ascii="Arial" w:hAnsi="Arial"/>
                <w:color w:val="232D32"/>
                <w:sz w:val="18"/>
              </w:rPr>
              <w:t>Windows frozen runtime; HTTPS-only Collector</w:t>
            </w:r>
          </w:p>
        </w:tc>
      </w:tr>
    </w:tbl>
    <w:tbl>
      <w:tblPr>
        <w:tblW w:type="auto" w:w="0"/>
        <w:jc w:val="center"/>
        <w:tblLayout w:type="fixed"/>
        <w:tblLook w:firstColumn="1" w:firstRow="1" w:lastColumn="0" w:lastRow="0" w:noHBand="0" w:noVBand="1" w:val="04A0"/>
      </w:tblPr>
      <w:tblGrid>
        <w:gridCol w:w="9288"/>
      </w:tblGrid>
      <w:tr>
        <w:tc>
          <w:tcPr>
            <w:tcW w:type="dxa" w:w="10166"/>
            <w:shd w:fill="EAF4F7"/>
            <w:tcMar>
              <w:top w:w="120" w:type="dxa"/>
              <w:start w:w="150" w:type="dxa"/>
              <w:bottom w:w="120" w:type="dxa"/>
              <w:end w:w="150" w:type="dxa"/>
            </w:tcMar>
          </w:tcPr>
          <w:p>
            <w:pPr>
              <w:spacing w:after="60"/>
            </w:pPr>
            <w:r>
              <w:rPr>
                <w:rFonts w:ascii="Arial" w:hAnsi="Arial"/>
                <w:b/>
                <w:color w:val="0F6173"/>
                <w:sz w:val="20"/>
              </w:rPr>
              <w:t>Purpose</w:t>
            </w:r>
          </w:p>
          <w:p>
            <w:pPr>
              <w:spacing w:after="0"/>
            </w:pPr>
            <w:r>
              <w:rPr>
                <w:rFonts w:ascii="Arial" w:hAnsi="Arial"/>
                <w:color w:val="2A3036"/>
                <w:sz w:val="19"/>
              </w:rPr>
              <w:t>Use this guide to install and activate SortView Collector on the Windows computer that receives your Tech Logic Automated Materials Handling (AMH) log files. The Collector sends supported event data to SortView over HTTPS. It does not require Python, Git, PostgreSQL drivers, or direct database access.</w:t>
            </w:r>
          </w:p>
        </w:tc>
      </w:tr>
    </w:tbl>
    <w:p>
      <w:pPr>
        <w:spacing w:before="320"/>
        <w:jc w:val="center"/>
      </w:pPr>
      <w:r>
        <w:rPr>
          <w:rFonts w:ascii="Arial" w:hAnsi="Arial"/>
          <w:b/>
          <w:color w:val="8A1C1C"/>
          <w:sz w:val="19"/>
        </w:rPr>
        <w:t>Keep your Collector API token private. Never include it in screenshots, tickets, email, or ordinary documentation.</w:t>
      </w:r>
    </w:p>
    <w:p>
      <w:r>
        <w:br w:type="page"/>
      </w:r>
    </w:p>
    <w:p>
      <w:pPr>
        <w:pStyle w:val="Heading1"/>
        <w:keepNext/>
      </w:pPr>
      <w:r>
        <w:t xml:space="preserve">1. </w:t>
      </w:r>
      <w:r>
        <w:t>Before you begin</w:t>
      </w:r>
    </w:p>
    <w:p>
      <w:r>
        <w:t>You will need the following before starting the installation:</w:t>
      </w:r>
    </w:p>
    <w:p>
      <w:pPr>
        <w:pStyle w:val="ListBullet"/>
      </w:pPr>
      <w:r>
        <w:t>Windows administrator access on the Collector computer.</w:t>
      </w:r>
    </w:p>
    <w:p>
      <w:pPr>
        <w:pStyle w:val="ListBullet"/>
      </w:pPr>
      <w:r>
        <w:t>The complete SortViewCollector-1.0.2.zip package.</w:t>
      </w:r>
    </w:p>
    <w:p>
      <w:pPr>
        <w:pStyle w:val="ListBullet"/>
      </w:pPr>
      <w:r>
        <w:t>Your SortView Operational Customer ID and Operational Branch ID.</w:t>
      </w:r>
    </w:p>
    <w:p>
      <w:pPr>
        <w:pStyle w:val="ListBullet"/>
      </w:pPr>
      <w:r>
        <w:t>Your SortView API URL.</w:t>
      </w:r>
    </w:p>
    <w:p>
      <w:pPr>
        <w:pStyle w:val="ListBullet"/>
      </w:pPr>
      <w:r>
        <w:t>Your private SortView Collector API token.</w:t>
      </w:r>
    </w:p>
    <w:p>
      <w:pPr>
        <w:pStyle w:val="ListBullet"/>
      </w:pPr>
      <w:r>
        <w:t>The full local or network paths to the Tech Logic Checkins, Rejects, and ACS Log source files.</w:t>
      </w:r>
    </w:p>
    <w:tbl>
      <w:tblPr>
        <w:tblW w:type="auto" w:w="0"/>
        <w:jc w:val="center"/>
        <w:tblLayout w:type="fixed"/>
        <w:tblLook w:firstColumn="1" w:firstRow="1" w:lastColumn="0" w:lastRow="0" w:noHBand="0" w:noVBand="1" w:val="04A0"/>
      </w:tblPr>
      <w:tblGrid>
        <w:gridCol w:w="9288"/>
      </w:tblGrid>
      <w:tr>
        <w:tc>
          <w:tcPr>
            <w:tcW w:type="dxa" w:w="10166"/>
            <w:shd w:fill="FFF4D6"/>
            <w:tcMar>
              <w:top w:w="120" w:type="dxa"/>
              <w:start w:w="150" w:type="dxa"/>
              <w:bottom w:w="120" w:type="dxa"/>
              <w:end w:w="150" w:type="dxa"/>
            </w:tcMar>
          </w:tcPr>
          <w:p>
            <w:pPr>
              <w:spacing w:after="60"/>
            </w:pPr>
            <w:r>
              <w:rPr>
                <w:rFonts w:ascii="Arial" w:hAnsi="Arial"/>
                <w:b/>
                <w:color w:val="7A5600"/>
                <w:sz w:val="20"/>
              </w:rPr>
              <w:t>Important</w:t>
            </w:r>
          </w:p>
          <w:p>
            <w:pPr>
              <w:spacing w:after="0"/>
            </w:pPr>
            <w:r>
              <w:rPr>
                <w:rFonts w:ascii="Arial" w:hAnsi="Arial"/>
                <w:color w:val="2A3036"/>
                <w:sz w:val="19"/>
              </w:rPr>
              <w:t>Do not guess Operational Customer ID, Operational Branch ID, API URL, or source paths. Use the values supplied for your library. These are Collector operational identifiers and may differ from administrative IDs shown elsewhere. A token is scoped to one operational customer and branch, and the preflight will reject a mismatched token.</w:t>
            </w:r>
          </w:p>
        </w:tc>
      </w:tr>
    </w:tbl>
    <w:p>
      <w:pPr>
        <w:pStyle w:val="Heading2"/>
        <w:keepNext/>
      </w:pPr>
      <w:r>
        <w:t>Recommended onboarding worksheet</w:t>
      </w:r>
    </w:p>
    <w:tbl>
      <w:tblPr>
        <w:tblStyle w:val="TableGrid"/>
        <w:tblW w:type="auto" w:w="0"/>
        <w:jc w:val="center"/>
        <w:tblLayout w:type="fixed"/>
        <w:tblLook w:firstColumn="1" w:firstRow="1" w:lastColumn="0" w:lastRow="0" w:noHBand="0" w:noVBand="1" w:val="04A0"/>
      </w:tblPr>
      <w:tblGrid>
        <w:gridCol w:w="2952"/>
        <w:gridCol w:w="6192"/>
      </w:tblGrid>
      <w:tr>
        <w:trPr>
          <w:tblHeader w:val="true"/>
        </w:trPr>
        <w:tc>
          <w:tcPr>
            <w:tcW w:type="dxa" w:w="5083"/>
            <w:shd w:fill="163A4A"/>
          </w:tcPr>
          <w:p>
            <w:r>
              <w:rPr>
                <w:rFonts w:ascii="Arial" w:hAnsi="Arial"/>
                <w:b/>
                <w:color w:val="FFFFFF"/>
                <w:sz w:val="18"/>
              </w:rPr>
              <w:t>Value</w:t>
            </w:r>
          </w:p>
        </w:tc>
        <w:tc>
          <w:tcPr>
            <w:tcW w:type="dxa" w:w="5083"/>
            <w:shd w:fill="163A4A"/>
          </w:tcPr>
          <w:p>
            <w:r>
              <w:rPr>
                <w:rFonts w:ascii="Arial" w:hAnsi="Arial"/>
                <w:b/>
                <w:color w:val="FFFFFF"/>
                <w:sz w:val="18"/>
              </w:rPr>
              <w:t>Customer-specific setting</w:t>
            </w:r>
          </w:p>
        </w:tc>
      </w:tr>
      <w:tr>
        <w:tc>
          <w:tcPr>
            <w:tcW w:type="dxa" w:w="2952"/>
            <w:tcMar>
              <w:top w:w="90" w:type="dxa"/>
              <w:start w:w="100" w:type="dxa"/>
              <w:bottom w:w="90" w:type="dxa"/>
              <w:end w:w="100" w:type="dxa"/>
            </w:tcMar>
            <w:vAlign w:val="center"/>
          </w:tcPr>
          <w:p>
            <w:r>
              <w:t>Operational Customer ID</w:t>
            </w:r>
          </w:p>
        </w:tc>
        <w:tc>
          <w:tcPr>
            <w:tcW w:type="dxa" w:w="6192"/>
            <w:tcMar>
              <w:top w:w="90" w:type="dxa"/>
              <w:start w:w="100" w:type="dxa"/>
              <w:bottom w:w="90" w:type="dxa"/>
              <w:end w:w="100" w:type="dxa"/>
            </w:tcMar>
            <w:vAlign w:val="center"/>
          </w:tcPr>
          <w:p>
            <w:r/>
          </w:p>
        </w:tc>
      </w:tr>
      <w:tr>
        <w:tc>
          <w:tcPr>
            <w:tcW w:type="dxa" w:w="2952"/>
            <w:tcMar>
              <w:top w:w="90" w:type="dxa"/>
              <w:start w:w="100" w:type="dxa"/>
              <w:bottom w:w="90" w:type="dxa"/>
              <w:end w:w="100" w:type="dxa"/>
            </w:tcMar>
            <w:vAlign w:val="center"/>
          </w:tcPr>
          <w:p>
            <w:r>
              <w:t>Operational Branch ID</w:t>
            </w:r>
          </w:p>
        </w:tc>
        <w:tc>
          <w:tcPr>
            <w:tcW w:type="dxa" w:w="6192"/>
            <w:tcMar>
              <w:top w:w="90" w:type="dxa"/>
              <w:start w:w="100" w:type="dxa"/>
              <w:bottom w:w="90" w:type="dxa"/>
              <w:end w:w="100" w:type="dxa"/>
            </w:tcMar>
            <w:vAlign w:val="center"/>
          </w:tcPr>
          <w:p>
            <w:r/>
          </w:p>
        </w:tc>
      </w:tr>
      <w:tr>
        <w:tc>
          <w:tcPr>
            <w:tcW w:type="dxa" w:w="2952"/>
            <w:tcMar>
              <w:top w:w="90" w:type="dxa"/>
              <w:start w:w="100" w:type="dxa"/>
              <w:bottom w:w="90" w:type="dxa"/>
              <w:end w:w="100" w:type="dxa"/>
            </w:tcMar>
            <w:vAlign w:val="center"/>
          </w:tcPr>
          <w:p>
            <w:r>
              <w:t>API URL</w:t>
            </w:r>
          </w:p>
        </w:tc>
        <w:tc>
          <w:tcPr>
            <w:tcW w:type="dxa" w:w="6192"/>
            <w:tcMar>
              <w:top w:w="90" w:type="dxa"/>
              <w:start w:w="100" w:type="dxa"/>
              <w:bottom w:w="90" w:type="dxa"/>
              <w:end w:w="100" w:type="dxa"/>
            </w:tcMar>
            <w:vAlign w:val="center"/>
          </w:tcPr>
          <w:p>
            <w:r/>
          </w:p>
        </w:tc>
      </w:tr>
      <w:tr>
        <w:tc>
          <w:tcPr>
            <w:tcW w:type="dxa" w:w="2952"/>
            <w:tcMar>
              <w:top w:w="90" w:type="dxa"/>
              <w:start w:w="100" w:type="dxa"/>
              <w:bottom w:w="90" w:type="dxa"/>
              <w:end w:w="100" w:type="dxa"/>
            </w:tcMar>
            <w:vAlign w:val="center"/>
          </w:tcPr>
          <w:p>
            <w:r>
              <w:t>Checkins path</w:t>
            </w:r>
          </w:p>
        </w:tc>
        <w:tc>
          <w:tcPr>
            <w:tcW w:type="dxa" w:w="6192"/>
            <w:tcMar>
              <w:top w:w="90" w:type="dxa"/>
              <w:start w:w="100" w:type="dxa"/>
              <w:bottom w:w="90" w:type="dxa"/>
              <w:end w:w="100" w:type="dxa"/>
            </w:tcMar>
            <w:vAlign w:val="center"/>
          </w:tcPr>
          <w:p>
            <w:r/>
          </w:p>
        </w:tc>
      </w:tr>
      <w:tr>
        <w:tc>
          <w:tcPr>
            <w:tcW w:type="dxa" w:w="2952"/>
            <w:tcMar>
              <w:top w:w="90" w:type="dxa"/>
              <w:start w:w="100" w:type="dxa"/>
              <w:bottom w:w="90" w:type="dxa"/>
              <w:end w:w="100" w:type="dxa"/>
            </w:tcMar>
            <w:vAlign w:val="center"/>
          </w:tcPr>
          <w:p>
            <w:r>
              <w:t>Rejects path</w:t>
            </w:r>
          </w:p>
        </w:tc>
        <w:tc>
          <w:tcPr>
            <w:tcW w:type="dxa" w:w="6192"/>
            <w:tcMar>
              <w:top w:w="90" w:type="dxa"/>
              <w:start w:w="100" w:type="dxa"/>
              <w:bottom w:w="90" w:type="dxa"/>
              <w:end w:w="100" w:type="dxa"/>
            </w:tcMar>
            <w:vAlign w:val="center"/>
          </w:tcPr>
          <w:p>
            <w:r/>
          </w:p>
        </w:tc>
      </w:tr>
      <w:tr>
        <w:tc>
          <w:tcPr>
            <w:tcW w:type="dxa" w:w="2952"/>
            <w:tcMar>
              <w:top w:w="90" w:type="dxa"/>
              <w:start w:w="100" w:type="dxa"/>
              <w:bottom w:w="90" w:type="dxa"/>
              <w:end w:w="100" w:type="dxa"/>
            </w:tcMar>
            <w:vAlign w:val="center"/>
          </w:tcPr>
          <w:p>
            <w:r>
              <w:t>ACS Log path</w:t>
            </w:r>
          </w:p>
        </w:tc>
        <w:tc>
          <w:tcPr>
            <w:tcW w:type="dxa" w:w="6192"/>
            <w:tcMar>
              <w:top w:w="90" w:type="dxa"/>
              <w:start w:w="100" w:type="dxa"/>
              <w:bottom w:w="90" w:type="dxa"/>
              <w:end w:w="100" w:type="dxa"/>
            </w:tcMar>
            <w:vAlign w:val="center"/>
          </w:tcPr>
          <w:p>
            <w:r/>
          </w:p>
        </w:tc>
      </w:tr>
    </w:tbl>
    <w:p>
      <w:pPr>
        <w:pStyle w:val="Heading1"/>
        <w:keepNext/>
      </w:pPr>
      <w:r>
        <w:t xml:space="preserve">2. </w:t>
      </w:r>
      <w:r>
        <w:t>Extract the release package</w:t>
      </w:r>
    </w:p>
    <w:p>
      <w:r>
        <w:t>Copy the ZIP to the Collector computer and extract the entire archive. Depending on the extraction tool, the result may contain an additional nested folder.</w:t>
      </w:r>
    </w:p>
    <w:tbl>
      <w:tblPr>
        <w:tblW w:type="auto" w:w="0"/>
        <w:jc w:val="center"/>
        <w:tblLayout w:type="fixed"/>
        <w:tblLook w:firstColumn="1" w:firstRow="1" w:lastColumn="0" w:lastRow="0" w:noHBand="0" w:noVBand="1" w:val="04A0"/>
      </w:tblPr>
      <w:tblGrid>
        <w:gridCol w:w="9288"/>
      </w:tblGrid>
      <w:tr>
        <w:tc>
          <w:tcPr>
            <w:tcW w:type="dxa" w:w="10166"/>
            <w:shd w:fill="EAF4F7"/>
            <w:tcMar>
              <w:top w:w="120" w:type="dxa"/>
              <w:start w:w="150" w:type="dxa"/>
              <w:bottom w:w="120" w:type="dxa"/>
              <w:end w:w="150" w:type="dxa"/>
            </w:tcMar>
          </w:tcPr>
          <w:p>
            <w:pPr>
              <w:spacing w:after="60"/>
            </w:pPr>
            <w:r>
              <w:rPr>
                <w:rFonts w:ascii="Arial" w:hAnsi="Arial"/>
                <w:b/>
                <w:color w:val="0F6173"/>
                <w:sz w:val="20"/>
              </w:rPr>
              <w:t>Package root</w:t>
            </w:r>
          </w:p>
          <w:p>
            <w:pPr>
              <w:spacing w:after="0"/>
            </w:pPr>
            <w:r>
              <w:rPr>
                <w:rFonts w:ascii="Arial" w:hAnsi="Arial"/>
                <w:color w:val="2A3036"/>
                <w:sz w:val="19"/>
              </w:rPr>
              <w:t>The package root is the folder that directly contains install.ps1, MANIFEST.json, runtime, and tools. Run all package commands from that folder.</w:t>
            </w:r>
          </w:p>
        </w:tc>
      </w:tr>
    </w:tbl>
    <w:p>
      <w:pPr>
        <w:pStyle w:val="CodeBlock"/>
      </w:pPr>
      <w:r>
        <w:rPr>
          <w:rFonts w:ascii="Courier New" w:hAnsi="Courier New"/>
          <w:color w:val="202A32"/>
          <w:sz w:val="18"/>
        </w:rPr>
        <w:t>Get-ChildItem -Path . -Filter "install.ps1" -Recurse | Select-Object FullName</w:t>
      </w:r>
    </w:p>
    <w:p>
      <w:r>
        <w:t>Change into the directory returned by that command. Example:</w:t>
      </w:r>
    </w:p>
    <w:p>
      <w:pPr>
        <w:pStyle w:val="CodeBlock"/>
      </w:pPr>
      <w:r>
        <w:rPr>
          <w:rFonts w:ascii="Courier New" w:hAnsi="Courier New"/>
          <w:color w:val="202A32"/>
          <w:sz w:val="18"/>
        </w:rPr>
        <w:t>Set-Location "C:\Users\&lt;username&gt;\Downloads\SortViewCollector-1.0.2\SortViewCollector-1.0.2"</w:t>
      </w:r>
    </w:p>
    <w:p>
      <w:pPr>
        <w:pStyle w:val="Heading1"/>
        <w:keepNext/>
      </w:pPr>
      <w:r>
        <w:t xml:space="preserve">3. </w:t>
      </w:r>
      <w:r>
        <w:t>Open an elevated PowerShell session</w:t>
      </w:r>
    </w:p>
    <w:p>
      <w:r>
        <w:t>Open Windows PowerShell using Run as administrator, then change to the package root.</w:t>
      </w:r>
    </w:p>
    <w:p>
      <w:pPr>
        <w:pStyle w:val="CodeBlock"/>
      </w:pPr>
      <w:r>
        <w:rPr>
          <w:rFonts w:ascii="Courier New" w:hAnsi="Courier New"/>
          <w:color w:val="202A32"/>
          <w:sz w:val="18"/>
        </w:rPr>
        <w:t>net session</w:t>
      </w:r>
    </w:p>
    <w:p>
      <w:r>
        <w:t>If the shell is elevated, the command should not return an Access Denied error. The installer intentionally refuses to run without administrator rights.</w:t>
      </w:r>
    </w:p>
    <w:p>
      <w:pPr>
        <w:pStyle w:val="Heading2"/>
        <w:keepNext/>
      </w:pPr>
      <w:r>
        <w:t>Execution policy</w:t>
      </w:r>
    </w:p>
    <w:p>
      <w:r>
        <w:t>If scripts are blocked, you may attempt a process-only execution-policy change:</w:t>
      </w:r>
    </w:p>
    <w:p>
      <w:pPr>
        <w:pStyle w:val="CodeBlock"/>
      </w:pPr>
      <w:r>
        <w:rPr>
          <w:rFonts w:ascii="Courier New" w:hAnsi="Courier New"/>
          <w:color w:val="202A32"/>
          <w:sz w:val="18"/>
        </w:rPr>
        <w:t>Set-ExecutionPolicy -Scope Process Bypass -Force</w:t>
      </w:r>
    </w:p>
    <w:p>
      <w:r>
        <w:t>A domain Group Policy may override that request. If the effective policy remains RemoteSigned, continue and try the installer normally. Do not change organization-wide policy unless directed by your IT administrator.</w:t>
      </w:r>
    </w:p>
    <w:p>
      <w:pPr>
        <w:pStyle w:val="Heading1"/>
        <w:keepNext/>
      </w:pPr>
      <w:r>
        <w:t xml:space="preserve">4. </w:t>
      </w:r>
      <w:r>
        <w:t>Install the Collector</w:t>
      </w:r>
    </w:p>
    <w:p>
      <w:r>
        <w:t>Enter your customer-specific settings as PowerShell variables. Replace only the values on the right side of the equals signs.</w:t>
      </w:r>
    </w:p>
    <w:p>
      <w:pPr>
        <w:pStyle w:val="CodeBlock"/>
      </w:pPr>
      <w:r>
        <w:rPr>
          <w:rFonts w:ascii="Courier New" w:hAnsi="Courier New"/>
          <w:color w:val="202A32"/>
          <w:sz w:val="18"/>
        </w:rPr>
        <w:t>$CustomerId = 123</w:t>
      </w:r>
      <w:r>
        <w:br/>
      </w:r>
      <w:r>
        <w:rPr>
          <w:rFonts w:ascii="Courier New" w:hAnsi="Courier New"/>
          <w:color w:val="202A32"/>
          <w:sz w:val="18"/>
        </w:rPr>
        <w:t>$BranchId = 4</w:t>
      </w:r>
      <w:r>
        <w:br/>
      </w:r>
      <w:r>
        <w:rPr>
          <w:rFonts w:ascii="Courier New" w:hAnsi="Courier New"/>
          <w:color w:val="202A32"/>
          <w:sz w:val="18"/>
        </w:rPr>
        <w:t>$ApiUrl = "https://your-sortview-api.example"</w:t>
      </w:r>
      <w:r>
        <w:br/>
      </w:r>
      <w:r>
        <w:rPr>
          <w:rFonts w:ascii="Courier New" w:hAnsi="Courier New"/>
          <w:color w:val="202A32"/>
          <w:sz w:val="18"/>
        </w:rPr>
        <w:t>$CheckinsPath = "C:\Path\To\Checkins.txt"</w:t>
      </w:r>
      <w:r>
        <w:br/>
      </w:r>
      <w:r>
        <w:rPr>
          <w:rFonts w:ascii="Courier New" w:hAnsi="Courier New"/>
          <w:color w:val="202A32"/>
          <w:sz w:val="18"/>
        </w:rPr>
        <w:t>$RejectsPath = "C:\Path\To\Rejects.txt"</w:t>
      </w:r>
      <w:r>
        <w:br/>
      </w:r>
      <w:r>
        <w:rPr>
          <w:rFonts w:ascii="Courier New" w:hAnsi="Courier New"/>
          <w:color w:val="202A32"/>
          <w:sz w:val="18"/>
        </w:rPr>
        <w:t>$AcsPath = "C:\Path\To\ACS Log.txt"</w:t>
      </w:r>
    </w:p>
    <w:tbl>
      <w:tblPr>
        <w:tblW w:type="auto" w:w="0"/>
        <w:jc w:val="center"/>
        <w:tblLayout w:type="fixed"/>
        <w:tblLook w:firstColumn="1" w:firstRow="1" w:lastColumn="0" w:lastRow="0" w:noHBand="0" w:noVBand="1" w:val="04A0"/>
      </w:tblPr>
      <w:tblGrid>
        <w:gridCol w:w="9288"/>
      </w:tblGrid>
      <w:tr>
        <w:tc>
          <w:tcPr>
            <w:tcW w:type="dxa" w:w="10166"/>
            <w:shd w:fill="FFF4D6"/>
            <w:tcMar>
              <w:top w:w="120" w:type="dxa"/>
              <w:start w:w="150" w:type="dxa"/>
              <w:bottom w:w="120" w:type="dxa"/>
              <w:end w:w="150" w:type="dxa"/>
            </w:tcMar>
          </w:tcPr>
          <w:p>
            <w:pPr>
              <w:spacing w:after="60"/>
            </w:pPr>
            <w:r>
              <w:rPr>
                <w:rFonts w:ascii="Arial" w:hAnsi="Arial"/>
                <w:b/>
                <w:color w:val="7A5600"/>
                <w:sz w:val="20"/>
              </w:rPr>
              <w:t>PowerShell note</w:t>
            </w:r>
          </w:p>
          <w:p>
            <w:pPr>
              <w:spacing w:after="0"/>
            </w:pPr>
            <w:r>
              <w:rPr>
                <w:rFonts w:ascii="Arial" w:hAnsi="Arial"/>
                <w:color w:val="2A3036"/>
                <w:sz w:val="19"/>
              </w:rPr>
              <w:t>Do not type placeholders such as &lt;CUSTOMER_ID&gt; directly into PowerShell. Angle brackets are parsed as syntax. Use actual values or the variables shown above.</w:t>
            </w:r>
          </w:p>
        </w:tc>
      </w:tr>
    </w:tbl>
    <w:p>
      <w:r>
        <w:t>Run the installer:</w:t>
      </w:r>
    </w:p>
    <w:p>
      <w:pPr>
        <w:pStyle w:val="CodeBlock"/>
      </w:pPr>
      <w:r>
        <w:rPr>
          <w:rFonts w:ascii="Courier New" w:hAnsi="Courier New"/>
          <w:color w:val="202A32"/>
          <w:sz w:val="18"/>
        </w:rPr>
        <w:t>.\install.ps1 -CustomerId $CustomerId -BranchId $BranchId -ApiUrl $ApiUrl -CheckinsPath $CheckinsPath -RejectsPath $RejectsPath -AcsPath $AcsPath</w:t>
      </w:r>
    </w:p>
    <w:p>
      <w:r>
        <w:t>A successful install reports that the bundle is FROZEN, verifies the manifest, copies the runtime, creates the data directories, and writes the configuration. The expected installed locations are:</w:t>
      </w:r>
    </w:p>
    <w:tbl>
      <w:tblPr>
        <w:tblStyle w:val="TableGrid"/>
        <w:tblW w:type="auto" w:w="0"/>
        <w:jc w:val="center"/>
        <w:tblLook w:firstColumn="1" w:firstRow="1" w:lastColumn="0" w:lastRow="0" w:noHBand="0" w:noVBand="1" w:val="04A0"/>
      </w:tblPr>
      <w:tblGrid>
        <w:gridCol w:w="5083"/>
        <w:gridCol w:w="5083"/>
      </w:tblGrid>
      <w:tr>
        <w:tc>
          <w:tcPr>
            <w:tcW w:type="dxa" w:w="5083"/>
            <w:shd w:fill="163A4A"/>
          </w:tcPr>
          <w:p>
            <w:r>
              <w:rPr>
                <w:rFonts w:ascii="Arial" w:hAnsi="Arial"/>
                <w:b/>
                <w:color w:val="FFFFFF"/>
                <w:sz w:val="18"/>
              </w:rPr>
              <w:t>Component</w:t>
            </w:r>
          </w:p>
        </w:tc>
        <w:tc>
          <w:tcPr>
            <w:tcW w:type="dxa" w:w="5083"/>
            <w:shd w:fill="163A4A"/>
          </w:tcPr>
          <w:p>
            <w:r>
              <w:rPr>
                <w:rFonts w:ascii="Arial" w:hAnsi="Arial"/>
                <w:b/>
                <w:color w:val="FFFFFF"/>
                <w:sz w:val="18"/>
              </w:rPr>
              <w:t>Location</w:t>
            </w:r>
          </w:p>
        </w:tc>
      </w:tr>
      <w:tr>
        <w:tc>
          <w:tcPr>
            <w:tcW w:type="dxa" w:w="5083"/>
          </w:tcPr>
          <w:p>
            <w:r>
              <w:t>Application runtime</w:t>
            </w:r>
          </w:p>
        </w:tc>
        <w:tc>
          <w:tcPr>
            <w:tcW w:type="dxa" w:w="5083"/>
          </w:tcPr>
          <w:p>
            <w:r>
              <w:t>C:\SortView\Collector</w:t>
            </w:r>
          </w:p>
        </w:tc>
      </w:tr>
      <w:tr>
        <w:tc>
          <w:tcPr>
            <w:tcW w:type="dxa" w:w="5083"/>
          </w:tcPr>
          <w:p>
            <w:r>
              <w:t>Configuration / state / logs</w:t>
            </w:r>
          </w:p>
        </w:tc>
        <w:tc>
          <w:tcPr>
            <w:tcW w:type="dxa" w:w="5083"/>
          </w:tcPr>
          <w:p>
            <w:r>
              <w:t>C:\ProgramData\SortViewCollector</w:t>
            </w:r>
          </w:p>
        </w:tc>
      </w:tr>
    </w:tbl>
    <w:p>
      <w:pPr>
        <w:pStyle w:val="Heading1"/>
        <w:keepNext/>
      </w:pPr>
      <w:r>
        <w:t xml:space="preserve">5. </w:t>
      </w:r>
      <w:r>
        <w:t>Set the Collector API token</w:t>
      </w:r>
    </w:p>
    <w:p>
      <w:r>
        <w:t>From the package root, run:</w:t>
      </w:r>
    </w:p>
    <w:p>
      <w:pPr>
        <w:pStyle w:val="CodeBlock"/>
      </w:pPr>
      <w:r>
        <w:rPr>
          <w:rFonts w:ascii="Courier New" w:hAnsi="Courier New"/>
          <w:color w:val="202A32"/>
          <w:sz w:val="18"/>
        </w:rPr>
        <w:t>.\tools\set-api-token.ps1</w:t>
      </w:r>
    </w:p>
    <w:p>
      <w:r>
        <w:t>Paste the private token when prompted. Input is hidden. The script stores the token as a Windows Machine-scope environment variable; it is not written to collector_config.json.</w:t>
      </w:r>
    </w:p>
    <w:tbl>
      <w:tblPr>
        <w:tblW w:type="auto" w:w="0"/>
        <w:jc w:val="center"/>
        <w:tblLayout w:type="fixed"/>
        <w:tblLook w:firstColumn="1" w:firstRow="1" w:lastColumn="0" w:lastRow="0" w:noHBand="0" w:noVBand="1" w:val="04A0"/>
      </w:tblPr>
      <w:tblGrid>
        <w:gridCol w:w="9288"/>
      </w:tblGrid>
      <w:tr>
        <w:tc>
          <w:tcPr>
            <w:tcW w:type="dxa" w:w="10166"/>
            <w:shd w:fill="FDECEC"/>
            <w:tcMar>
              <w:top w:w="120" w:type="dxa"/>
              <w:start w:w="150" w:type="dxa"/>
              <w:bottom w:w="120" w:type="dxa"/>
              <w:end w:w="150" w:type="dxa"/>
            </w:tcMar>
          </w:tcPr>
          <w:p>
            <w:pPr>
              <w:spacing w:after="60"/>
            </w:pPr>
            <w:r>
              <w:rPr>
                <w:rFonts w:ascii="Arial" w:hAnsi="Arial"/>
                <w:b/>
                <w:color w:val="8A1C1C"/>
                <w:sz w:val="20"/>
              </w:rPr>
              <w:t>Security</w:t>
            </w:r>
          </w:p>
          <w:p>
            <w:pPr>
              <w:spacing w:after="0"/>
            </w:pPr>
            <w:r>
              <w:rPr>
                <w:rFonts w:ascii="Arial" w:hAnsi="Arial"/>
                <w:color w:val="2A3036"/>
                <w:sz w:val="19"/>
              </w:rPr>
              <w:t>Do not place the raw token in commands, scripts, email, screenshots, tickets, or the configuration file. If a token is exposed, request a replacement and revoke the exposed token.</w:t>
            </w:r>
          </w:p>
        </w:tc>
      </w:tr>
    </w:tbl>
    <w:p>
      <w:pPr>
        <w:pStyle w:val="Heading1"/>
        <w:keepNext/>
      </w:pPr>
      <w:r>
        <w:t xml:space="preserve">6. </w:t>
      </w:r>
      <w:r>
        <w:t>Run guided setup</w:t>
      </w:r>
    </w:p>
    <w:p>
      <w:pPr>
        <w:pStyle w:val="CodeBlock"/>
      </w:pPr>
      <w:r>
        <w:rPr>
          <w:rFonts w:ascii="Courier New" w:hAnsi="Courier New"/>
          <w:color w:val="202A32"/>
          <w:sz w:val="18"/>
        </w:rPr>
        <w:t>.\tools\finish-install.ps1 -InstallRoot "C:\SortView\Collector" -ConfigPath "C:\ProgramData\SortViewCollector\config\collector_config.json"</w:t>
      </w:r>
    </w:p>
    <w:p>
      <w:r>
        <w:t>If prompted to keep or replace an existing Machine-scope token and the correct token was just set, choose K to keep it.</w:t>
      </w:r>
    </w:p>
    <w:p>
      <w:r>
        <w:t>The guided setup performs these operations in order:</w:t>
      </w:r>
    </w:p>
    <w:p>
      <w:pPr>
        <w:pStyle w:val="ListNumber"/>
      </w:pPr>
      <w:r>
        <w:t>Read-only install/config checks.</w:t>
      </w:r>
    </w:p>
    <w:p>
      <w:pPr>
        <w:pStyle w:val="ListNumber"/>
      </w:pPr>
      <w:r>
        <w:t>Interactive Collector preflight.</w:t>
      </w:r>
    </w:p>
    <w:p>
      <w:pPr>
        <w:pStyle w:val="ListNumber"/>
      </w:pPr>
      <w:r>
        <w:t>SYSTEM-context preflight.</w:t>
      </w:r>
    </w:p>
    <w:p>
      <w:pPr>
        <w:pStyle w:val="ListNumber"/>
      </w:pPr>
      <w:r>
        <w:t>Starting-cursor bootstrap for all configured sources.</w:t>
      </w:r>
    </w:p>
    <w:p>
      <w:pPr>
        <w:pStyle w:val="ListNumber"/>
      </w:pPr>
      <w:r>
        <w:t>Scheduled Task registration in a disabled state.</w:t>
      </w:r>
    </w:p>
    <w:tbl>
      <w:tblPr>
        <w:tblW w:type="auto" w:w="0"/>
        <w:jc w:val="center"/>
        <w:tblLayout w:type="fixed"/>
        <w:tblLook w:firstColumn="1" w:firstRow="1" w:lastColumn="0" w:lastRow="0" w:noHBand="0" w:noVBand="1" w:val="04A0"/>
      </w:tblPr>
      <w:tblGrid>
        <w:gridCol w:w="9288"/>
      </w:tblGrid>
      <w:tr>
        <w:tc>
          <w:tcPr>
            <w:tcW w:type="dxa" w:w="10166"/>
            <w:shd w:fill="FDECEC"/>
            <w:tcMar>
              <w:top w:w="120" w:type="dxa"/>
              <w:start w:w="150" w:type="dxa"/>
              <w:bottom w:w="120" w:type="dxa"/>
              <w:end w:w="150" w:type="dxa"/>
            </w:tcMar>
          </w:tcPr>
          <w:p>
            <w:pPr>
              <w:spacing w:after="60"/>
            </w:pPr>
            <w:r>
              <w:rPr>
                <w:rFonts w:ascii="Arial" w:hAnsi="Arial"/>
                <w:b/>
                <w:color w:val="8A1C1C"/>
                <w:sz w:val="20"/>
              </w:rPr>
              <w:t>Stop condition</w:t>
            </w:r>
          </w:p>
          <w:p>
            <w:pPr>
              <w:spacing w:after="0"/>
            </w:pPr>
            <w:r>
              <w:rPr>
                <w:rFonts w:ascii="Arial" w:hAnsi="Arial"/>
                <w:color w:val="2A3036"/>
                <w:sz w:val="19"/>
              </w:rPr>
              <w:t>Do not enable the Scheduled Task unless both preflights pass and bootstrap completes. The guided script is designed to stop at the first problem before it can schedule normal collection.</w:t>
            </w:r>
          </w:p>
        </w:tc>
      </w:tr>
    </w:tbl>
    <w:p>
      <w:pPr>
        <w:pStyle w:val="Heading1"/>
        <w:keepNext/>
      </w:pPr>
      <w:r>
        <w:t xml:space="preserve">7. </w:t>
      </w:r>
      <w:r>
        <w:t>Review preflight results</w:t>
      </w:r>
    </w:p>
    <w:p>
      <w:r>
        <w:t>A healthy installation reports OVERALL: PASS for the interactive preflight and SYSTEM CONTEXT VALIDATION: PASS for the SYSTEM-context preflight.</w:t>
      </w:r>
    </w:p>
    <w:tbl>
      <w:tblPr>
        <w:tblStyle w:val="TableGrid"/>
        <w:tblW w:type="auto" w:w="0"/>
        <w:jc w:val="center"/>
        <w:tblLook w:firstColumn="1" w:firstRow="1" w:lastColumn="0" w:lastRow="0" w:noHBand="0" w:noVBand="1" w:val="04A0"/>
      </w:tblPr>
      <w:tblGrid>
        <w:gridCol w:w="5083"/>
        <w:gridCol w:w="5083"/>
      </w:tblGrid>
      <w:tr>
        <w:tc>
          <w:tcPr>
            <w:tcW w:type="dxa" w:w="5083"/>
            <w:shd w:fill="163A4A"/>
          </w:tcPr>
          <w:p>
            <w:r>
              <w:rPr>
                <w:rFonts w:ascii="Arial" w:hAnsi="Arial"/>
                <w:b/>
                <w:color w:val="FFFFFF"/>
                <w:sz w:val="18"/>
              </w:rPr>
              <w:t>Check</w:t>
            </w:r>
          </w:p>
        </w:tc>
        <w:tc>
          <w:tcPr>
            <w:tcW w:type="dxa" w:w="5083"/>
            <w:shd w:fill="163A4A"/>
          </w:tcPr>
          <w:p>
            <w:r>
              <w:rPr>
                <w:rFonts w:ascii="Arial" w:hAnsi="Arial"/>
                <w:b/>
                <w:color w:val="FFFFFF"/>
                <w:sz w:val="18"/>
              </w:rPr>
              <w:t>Expected result</w:t>
            </w:r>
          </w:p>
        </w:tc>
      </w:tr>
      <w:tr>
        <w:tc>
          <w:tcPr>
            <w:tcW w:type="dxa" w:w="5083"/>
          </w:tcPr>
          <w:p>
            <w:r>
              <w:t>config_loads</w:t>
            </w:r>
          </w:p>
        </w:tc>
        <w:tc>
          <w:tcPr>
            <w:tcW w:type="dxa" w:w="5083"/>
          </w:tcPr>
          <w:p>
            <w:r>
              <w:t>PASS</w:t>
            </w:r>
          </w:p>
        </w:tc>
      </w:tr>
      <w:tr>
        <w:tc>
          <w:tcPr>
            <w:tcW w:type="dxa" w:w="5083"/>
          </w:tcPr>
          <w:p>
            <w:r>
              <w:t>source_paths_exist</w:t>
            </w:r>
          </w:p>
        </w:tc>
        <w:tc>
          <w:tcPr>
            <w:tcW w:type="dxa" w:w="5083"/>
          </w:tcPr>
          <w:p>
            <w:r>
              <w:t>PASS</w:t>
            </w:r>
          </w:p>
        </w:tc>
      </w:tr>
      <w:tr>
        <w:tc>
          <w:tcPr>
            <w:tcW w:type="dxa" w:w="5083"/>
          </w:tcPr>
          <w:p>
            <w:r>
              <w:t>source_paths_readable</w:t>
            </w:r>
          </w:p>
        </w:tc>
        <w:tc>
          <w:tcPr>
            <w:tcW w:type="dxa" w:w="5083"/>
          </w:tcPr>
          <w:p>
            <w:r>
              <w:t>PASS</w:t>
            </w:r>
          </w:p>
        </w:tc>
      </w:tr>
      <w:tr>
        <w:tc>
          <w:tcPr>
            <w:tcW w:type="dxa" w:w="5083"/>
          </w:tcPr>
          <w:p>
            <w:r>
              <w:t>state_dir_writable / status_dir_writable / log_dir_writable</w:t>
            </w:r>
          </w:p>
        </w:tc>
        <w:tc>
          <w:tcPr>
            <w:tcW w:type="dxa" w:w="5083"/>
          </w:tcPr>
          <w:p>
            <w:r>
              <w:t>PASS</w:t>
            </w:r>
          </w:p>
        </w:tc>
      </w:tr>
      <w:tr>
        <w:tc>
          <w:tcPr>
            <w:tcW w:type="dxa" w:w="5083"/>
          </w:tcPr>
          <w:p>
            <w:r>
              <w:t>api_token_visible</w:t>
            </w:r>
          </w:p>
        </w:tc>
        <w:tc>
          <w:tcPr>
            <w:tcW w:type="dxa" w:w="5083"/>
          </w:tcPr>
          <w:p>
            <w:r>
              <w:t>PASS</w:t>
            </w:r>
          </w:p>
        </w:tc>
      </w:tr>
      <w:tr>
        <w:tc>
          <w:tcPr>
            <w:tcW w:type="dxa" w:w="5083"/>
          </w:tcPr>
          <w:p>
            <w:r>
              <w:t>dns_resolution / https_tls_connection</w:t>
            </w:r>
          </w:p>
        </w:tc>
        <w:tc>
          <w:tcPr>
            <w:tcW w:type="dxa" w:w="5083"/>
          </w:tcPr>
          <w:p>
            <w:r>
              <w:t>PASS</w:t>
            </w:r>
          </w:p>
        </w:tc>
      </w:tr>
      <w:tr>
        <w:tc>
          <w:tcPr>
            <w:tcW w:type="dxa" w:w="5083"/>
          </w:tcPr>
          <w:p>
            <w:r>
              <w:t>api_authentication</w:t>
            </w:r>
          </w:p>
        </w:tc>
        <w:tc>
          <w:tcPr>
            <w:tcW w:type="dxa" w:w="5083"/>
          </w:tcPr>
          <w:p>
            <w:r>
              <w:t>PASS</w:t>
            </w:r>
          </w:p>
        </w:tc>
      </w:tr>
      <w:tr>
        <w:tc>
          <w:tcPr>
            <w:tcW w:type="dxa" w:w="5083"/>
          </w:tcPr>
          <w:p>
            <w:r>
              <w:t>token_scope_matches</w:t>
            </w:r>
          </w:p>
        </w:tc>
        <w:tc>
          <w:tcPr>
            <w:tcW w:type="dxa" w:w="5083"/>
          </w:tcPr>
          <w:p>
            <w:r>
              <w:t>PASS</w:t>
            </w:r>
          </w:p>
        </w:tc>
      </w:tr>
      <w:tr>
        <w:tc>
          <w:tcPr>
            <w:tcW w:type="dxa" w:w="5083"/>
          </w:tcPr>
          <w:p>
            <w:r>
              <w:t>no_direct_database_dependency</w:t>
            </w:r>
          </w:p>
        </w:tc>
        <w:tc>
          <w:tcPr>
            <w:tcW w:type="dxa" w:w="5083"/>
          </w:tcPr>
          <w:p>
            <w:r>
              <w:t>PASS</w:t>
            </w:r>
          </w:p>
        </w:tc>
      </w:tr>
      <w:tr>
        <w:tc>
          <w:tcPr>
            <w:tcW w:type="dxa" w:w="5083"/>
          </w:tcPr>
          <w:p>
            <w:r>
              <w:t>collector_runtime_imports</w:t>
            </w:r>
          </w:p>
        </w:tc>
        <w:tc>
          <w:tcPr>
            <w:tcW w:type="dxa" w:w="5083"/>
          </w:tcPr>
          <w:p>
            <w:r>
              <w:t>PASS</w:t>
            </w:r>
          </w:p>
        </w:tc>
      </w:tr>
    </w:tbl>
    <w:p>
      <w:pPr>
        <w:pStyle w:val="Heading2"/>
        <w:keepNext/>
      </w:pPr>
      <w:r>
        <w:t>If guided setup stops</w:t>
      </w:r>
    </w:p>
    <w:p>
      <w:r>
        <w:t>Read the [FAIL] line, correct that specific problem, and rerun finish-install.ps1. Do not reinstall unless support specifically asks you to.</w:t>
      </w:r>
    </w:p>
    <w:tbl>
      <w:tblPr>
        <w:tblW w:type="auto" w:w="0"/>
        <w:jc w:val="center"/>
        <w:tblLayout w:type="fixed"/>
        <w:tblLook w:firstColumn="1" w:firstRow="1" w:lastColumn="0" w:lastRow="0" w:noHBand="0" w:noVBand="1" w:val="04A0"/>
      </w:tblPr>
      <w:tblGrid>
        <w:gridCol w:w="9288"/>
      </w:tblGrid>
      <w:tr>
        <w:tc>
          <w:tcPr>
            <w:tcW w:type="dxa" w:w="10166"/>
            <w:shd w:fill="EAF6EE"/>
            <w:tcMar>
              <w:top w:w="120" w:type="dxa"/>
              <w:start w:w="150" w:type="dxa"/>
              <w:bottom w:w="120" w:type="dxa"/>
              <w:end w:w="150" w:type="dxa"/>
            </w:tcMar>
          </w:tcPr>
          <w:p>
            <w:pPr>
              <w:spacing w:after="60"/>
            </w:pPr>
            <w:r>
              <w:rPr>
                <w:rFonts w:ascii="Arial" w:hAnsi="Arial"/>
                <w:b/>
                <w:color w:val="2C6A3F"/>
                <w:sz w:val="20"/>
              </w:rPr>
              <w:t>Validated recovery behavior</w:t>
            </w:r>
          </w:p>
          <w:p>
            <w:pPr>
              <w:spacing w:after="0"/>
            </w:pPr>
            <w:r>
              <w:rPr>
                <w:rFonts w:ascii="Arial" w:hAnsi="Arial"/>
                <w:color w:val="2A3036"/>
                <w:sz w:val="19"/>
              </w:rPr>
              <w:t>If configured source files are missing, guided setup stops during preflight, leaves the token in place, and does not create bootstrap state or the Scheduled Task. After correcting the source paths/files, rerunning finish-install.ps1 continues safely.</w:t>
            </w:r>
          </w:p>
        </w:tc>
      </w:tr>
    </w:tbl>
    <w:p>
      <w:pPr>
        <w:pStyle w:val="Heading1"/>
        <w:keepNext/>
      </w:pPr>
      <w:r>
        <w:t xml:space="preserve">8. </w:t>
      </w:r>
      <w:r>
        <w:t>Enable the Collector</w:t>
      </w:r>
    </w:p>
    <w:p>
      <w:r>
        <w:t>After both preflights pass, bootstrap completes, and the Scheduled Task is registered Disabled, enable normal collection:</w:t>
      </w:r>
    </w:p>
    <w:p>
      <w:pPr>
        <w:pStyle w:val="CodeBlock"/>
      </w:pPr>
      <w:r>
        <w:rPr>
          <w:rFonts w:ascii="Courier New" w:hAnsi="Courier New"/>
          <w:color w:val="202A32"/>
          <w:sz w:val="18"/>
        </w:rPr>
        <w:t>Enable-ScheduledTask -TaskName "SortView Collector"</w:t>
      </w:r>
    </w:p>
    <w:p>
      <w:r>
        <w:t>Verify the task is ready:</w:t>
      </w:r>
    </w:p>
    <w:p>
      <w:pPr>
        <w:pStyle w:val="CodeBlock"/>
      </w:pPr>
      <w:r>
        <w:rPr>
          <w:rFonts w:ascii="Courier New" w:hAnsi="Courier New"/>
          <w:color w:val="202A32"/>
          <w:sz w:val="18"/>
        </w:rPr>
        <w:t>Get-ScheduledTask -TaskName "SortView Collector" | Select-Object TaskName, State</w:t>
      </w:r>
    </w:p>
    <w:p>
      <w:r>
        <w:t>The task runs as SYSTEM every 15 minutes. While disabled, Windows will not allow Start-ScheduledTask. Enable it first.</w:t>
      </w:r>
    </w:p>
    <w:p>
      <w:pPr>
        <w:pStyle w:val="Heading1"/>
        <w:keepNext/>
      </w:pPr>
      <w:r>
        <w:t xml:space="preserve">9. </w:t>
      </w:r>
      <w:r>
        <w:t>Run and verify the first collection</w:t>
      </w:r>
    </w:p>
    <w:p>
      <w:r>
        <w:t>Optionally trigger the first run immediately instead of waiting for the next scheduled trigger:</w:t>
      </w:r>
    </w:p>
    <w:p>
      <w:pPr>
        <w:pStyle w:val="CodeBlock"/>
      </w:pPr>
      <w:r>
        <w:rPr>
          <w:rFonts w:ascii="Courier New" w:hAnsi="Courier New"/>
          <w:color w:val="202A32"/>
          <w:sz w:val="18"/>
        </w:rPr>
        <w:t>Start-ScheduledTask -TaskName "SortView Collector"</w:t>
      </w:r>
    </w:p>
    <w:p>
      <w:r>
        <w:t>After several seconds, inspect Task Scheduler status:</w:t>
      </w:r>
    </w:p>
    <w:p>
      <w:pPr>
        <w:pStyle w:val="CodeBlock"/>
      </w:pPr>
      <w:r>
        <w:rPr>
          <w:rFonts w:ascii="Courier New" w:hAnsi="Courier New"/>
          <w:color w:val="202A32"/>
          <w:sz w:val="18"/>
        </w:rPr>
        <w:t>Get-ScheduledTaskInfo -TaskName "SortView Collector" | Select-Object LastRunTime, LastTaskResult, NextRunTime</w:t>
      </w:r>
    </w:p>
    <w:tbl>
      <w:tblPr>
        <w:tblW w:type="auto" w:w="0"/>
        <w:jc w:val="center"/>
        <w:tblLayout w:type="fixed"/>
        <w:tblLook w:firstColumn="1" w:firstRow="1" w:lastColumn="0" w:lastRow="0" w:noHBand="0" w:noVBand="1" w:val="04A0"/>
      </w:tblPr>
      <w:tblGrid>
        <w:gridCol w:w="9288"/>
      </w:tblGrid>
      <w:tr>
        <w:tc>
          <w:tcPr>
            <w:tcW w:type="dxa" w:w="10166"/>
            <w:shd w:fill="EAF6EE"/>
            <w:tcMar>
              <w:top w:w="120" w:type="dxa"/>
              <w:start w:w="150" w:type="dxa"/>
              <w:bottom w:w="120" w:type="dxa"/>
              <w:end w:w="150" w:type="dxa"/>
            </w:tcMar>
          </w:tcPr>
          <w:p>
            <w:pPr>
              <w:spacing w:after="60"/>
            </w:pPr>
            <w:r>
              <w:rPr>
                <w:rFonts w:ascii="Arial" w:hAnsi="Arial"/>
                <w:b/>
                <w:color w:val="2C6A3F"/>
                <w:sz w:val="20"/>
              </w:rPr>
              <w:t>Success criterion</w:t>
            </w:r>
          </w:p>
          <w:p>
            <w:pPr>
              <w:spacing w:after="0"/>
            </w:pPr>
            <w:r>
              <w:rPr>
                <w:rFonts w:ascii="Arial" w:hAnsi="Arial"/>
                <w:color w:val="2A3036"/>
                <w:sz w:val="19"/>
              </w:rPr>
              <w:t>LastTaskResult = 0 indicates the scheduled process completed successfully. For a production installation, leave the task enabled after validation.</w:t>
            </w:r>
          </w:p>
        </w:tc>
      </w:tr>
    </w:tbl>
    <w:p>
      <w:r>
        <w:t>Inspect the Collector status file:</w:t>
      </w:r>
    </w:p>
    <w:p>
      <w:pPr>
        <w:pStyle w:val="CodeBlock"/>
      </w:pPr>
      <w:r>
        <w:rPr>
          <w:rFonts w:ascii="Courier New" w:hAnsi="Courier New"/>
          <w:color w:val="202A32"/>
          <w:sz w:val="18"/>
        </w:rPr>
        <w:t>Get-Content "C:\ProgramData\SortViewCollector\data\status.json"</w:t>
      </w:r>
    </w:p>
    <w:p>
      <w:r>
        <w:t>A successful run may show uploaded rows, or status "completed_no_new_rows" when no new events were available. Normally, sources_missing, sources_rotated, and sources_truncated should be empty.</w:t>
      </w:r>
    </w:p>
    <w:p>
      <w:pPr>
        <w:pStyle w:val="Heading1"/>
        <w:keepNext/>
      </w:pPr>
      <w:r>
        <w:t xml:space="preserve">10. </w:t>
      </w:r>
      <w:r>
        <w:t>Operational reference</w:t>
      </w:r>
    </w:p>
    <w:tbl>
      <w:tblPr>
        <w:tblStyle w:val="TableGrid"/>
        <w:tblW w:type="auto" w:w="0"/>
        <w:jc w:val="center"/>
        <w:tblLook w:firstColumn="1" w:firstRow="1" w:lastColumn="0" w:lastRow="0" w:noHBand="0" w:noVBand="1" w:val="04A0"/>
      </w:tblPr>
      <w:tblGrid>
        <w:gridCol w:w="5083"/>
        <w:gridCol w:w="5083"/>
      </w:tblGrid>
      <w:tr>
        <w:tc>
          <w:tcPr>
            <w:tcW w:type="dxa" w:w="5083"/>
            <w:shd w:fill="163A4A"/>
          </w:tcPr>
          <w:p>
            <w:r>
              <w:rPr>
                <w:rFonts w:ascii="Arial" w:hAnsi="Arial"/>
                <w:b/>
                <w:color w:val="FFFFFF"/>
                <w:sz w:val="18"/>
              </w:rPr>
              <w:t>Item</w:t>
            </w:r>
          </w:p>
        </w:tc>
        <w:tc>
          <w:tcPr>
            <w:tcW w:type="dxa" w:w="5083"/>
            <w:shd w:fill="163A4A"/>
          </w:tcPr>
          <w:p>
            <w:r>
              <w:rPr>
                <w:rFonts w:ascii="Arial" w:hAnsi="Arial"/>
                <w:b/>
                <w:color w:val="FFFFFF"/>
                <w:sz w:val="18"/>
              </w:rPr>
              <w:t>Value</w:t>
            </w:r>
          </w:p>
        </w:tc>
      </w:tr>
      <w:tr>
        <w:tc>
          <w:tcPr>
            <w:tcW w:type="dxa" w:w="5083"/>
          </w:tcPr>
          <w:p>
            <w:r>
              <w:t>Scheduled Task</w:t>
            </w:r>
          </w:p>
        </w:tc>
        <w:tc>
          <w:tcPr>
            <w:tcW w:type="dxa" w:w="5083"/>
          </w:tcPr>
          <w:p>
            <w:r>
              <w:t>SortView Collector</w:t>
            </w:r>
          </w:p>
        </w:tc>
      </w:tr>
      <w:tr>
        <w:tc>
          <w:tcPr>
            <w:tcW w:type="dxa" w:w="5083"/>
          </w:tcPr>
          <w:p>
            <w:r>
              <w:t>Runs as</w:t>
            </w:r>
          </w:p>
        </w:tc>
        <w:tc>
          <w:tcPr>
            <w:tcW w:type="dxa" w:w="5083"/>
          </w:tcPr>
          <w:p>
            <w:r>
              <w:t>SYSTEM</w:t>
            </w:r>
          </w:p>
        </w:tc>
      </w:tr>
      <w:tr>
        <w:tc>
          <w:tcPr>
            <w:tcW w:type="dxa" w:w="5083"/>
          </w:tcPr>
          <w:p>
            <w:r>
              <w:t>Normal cadence</w:t>
            </w:r>
          </w:p>
        </w:tc>
        <w:tc>
          <w:tcPr>
            <w:tcW w:type="dxa" w:w="5083"/>
          </w:tcPr>
          <w:p>
            <w:r>
              <w:t>Every 15 minutes</w:t>
            </w:r>
          </w:p>
        </w:tc>
      </w:tr>
      <w:tr>
        <w:tc>
          <w:tcPr>
            <w:tcW w:type="dxa" w:w="5083"/>
          </w:tcPr>
          <w:p>
            <w:r>
              <w:t>Overlap policy</w:t>
            </w:r>
          </w:p>
        </w:tc>
        <w:tc>
          <w:tcPr>
            <w:tcW w:type="dxa" w:w="5083"/>
          </w:tcPr>
          <w:p>
            <w:r>
              <w:t>IgnoreNew</w:t>
            </w:r>
          </w:p>
        </w:tc>
      </w:tr>
      <w:tr>
        <w:tc>
          <w:tcPr>
            <w:tcW w:type="dxa" w:w="5083"/>
          </w:tcPr>
          <w:p>
            <w:r>
              <w:t>Restart on failure</w:t>
            </w:r>
          </w:p>
        </w:tc>
        <w:tc>
          <w:tcPr>
            <w:tcW w:type="dxa" w:w="5083"/>
          </w:tcPr>
          <w:p>
            <w:r>
              <w:t>3 attempts, 5 minutes apart</w:t>
            </w:r>
          </w:p>
        </w:tc>
      </w:tr>
      <w:tr>
        <w:tc>
          <w:tcPr>
            <w:tcW w:type="dxa" w:w="5083"/>
          </w:tcPr>
          <w:p>
            <w:r>
              <w:t>Execution limit</w:t>
            </w:r>
          </w:p>
        </w:tc>
        <w:tc>
          <w:tcPr>
            <w:tcW w:type="dxa" w:w="5083"/>
          </w:tcPr>
          <w:p>
            <w:r>
              <w:t>1 hour</w:t>
            </w:r>
          </w:p>
        </w:tc>
      </w:tr>
      <w:tr>
        <w:tc>
          <w:tcPr>
            <w:tcW w:type="dxa" w:w="5083"/>
          </w:tcPr>
          <w:p>
            <w:r>
              <w:t>Runtime</w:t>
            </w:r>
          </w:p>
        </w:tc>
        <w:tc>
          <w:tcPr>
            <w:tcW w:type="dxa" w:w="5083"/>
          </w:tcPr>
          <w:p>
            <w:r>
              <w:t>C:\SortView\Collector</w:t>
            </w:r>
          </w:p>
        </w:tc>
      </w:tr>
      <w:tr>
        <w:tc>
          <w:tcPr>
            <w:tcW w:type="dxa" w:w="5083"/>
          </w:tcPr>
          <w:p>
            <w:r>
              <w:t>Config</w:t>
            </w:r>
          </w:p>
        </w:tc>
        <w:tc>
          <w:tcPr>
            <w:tcW w:type="dxa" w:w="5083"/>
          </w:tcPr>
          <w:p>
            <w:r>
              <w:t>C:\ProgramData\SortViewCollector\config\collector_config.json</w:t>
            </w:r>
          </w:p>
        </w:tc>
      </w:tr>
      <w:tr>
        <w:tc>
          <w:tcPr>
            <w:tcW w:type="dxa" w:w="5083"/>
          </w:tcPr>
          <w:p>
            <w:r>
              <w:t>State / status</w:t>
            </w:r>
          </w:p>
        </w:tc>
        <w:tc>
          <w:tcPr>
            <w:tcW w:type="dxa" w:w="5083"/>
          </w:tcPr>
          <w:p>
            <w:r>
              <w:t>C:\ProgramData\SortViewCollector\data</w:t>
            </w:r>
          </w:p>
        </w:tc>
      </w:tr>
      <w:tr>
        <w:tc>
          <w:tcPr>
            <w:tcW w:type="dxa" w:w="5083"/>
          </w:tcPr>
          <w:p>
            <w:r>
              <w:t>Logs</w:t>
            </w:r>
          </w:p>
        </w:tc>
        <w:tc>
          <w:tcPr>
            <w:tcW w:type="dxa" w:w="5083"/>
          </w:tcPr>
          <w:p>
            <w:r>
              <w:t>C:\ProgramData\SortViewCollector\logs</w:t>
            </w:r>
          </w:p>
        </w:tc>
      </w:tr>
    </w:tbl>
    <w:p>
      <w:pPr>
        <w:pStyle w:val="Heading1"/>
        <w:keepNext/>
      </w:pPr>
      <w:r>
        <w:t xml:space="preserve">11. </w:t>
      </w:r>
      <w:r>
        <w:t>Troubleshooting and support</w:t>
      </w:r>
    </w:p>
    <w:p>
      <w:r>
        <w:t>If installation or preflight fails, capture the following before contacting support:</w:t>
      </w:r>
    </w:p>
    <w:p>
      <w:pPr>
        <w:pStyle w:val="ListBullet"/>
      </w:pPr>
      <w:r>
        <w:t>The exact step that failed.</w:t>
      </w:r>
    </w:p>
    <w:p>
      <w:pPr>
        <w:pStyle w:val="ListBullet"/>
      </w:pPr>
      <w:r>
        <w:t>The complete error message or [FAIL] line.</w:t>
      </w:r>
    </w:p>
    <w:p>
      <w:pPr>
        <w:pStyle w:val="ListBullet"/>
      </w:pPr>
      <w:r>
        <w:t>Whether interactive preflight passed.</w:t>
      </w:r>
    </w:p>
    <w:p>
      <w:pPr>
        <w:pStyle w:val="ListBullet"/>
      </w:pPr>
      <w:r>
        <w:t>Whether SYSTEM-context preflight passed.</w:t>
      </w:r>
    </w:p>
    <w:p>
      <w:pPr>
        <w:pStyle w:val="ListBullet"/>
      </w:pPr>
      <w:r>
        <w:t>Current Scheduled Task state.</w:t>
      </w:r>
    </w:p>
    <w:p>
      <w:pPr>
        <w:pStyle w:val="ListBullet"/>
      </w:pPr>
      <w:r>
        <w:t>Contents of status.json, if present.</w:t>
      </w:r>
    </w:p>
    <w:p>
      <w:pPr>
        <w:pStyle w:val="ListBullet"/>
      </w:pPr>
      <w:r>
        <w:t>Relevant files from C:\ProgramData\SortViewCollector\logs.</w:t>
      </w:r>
    </w:p>
    <w:tbl>
      <w:tblPr>
        <w:tblW w:type="auto" w:w="0"/>
        <w:jc w:val="center"/>
        <w:tblLayout w:type="fixed"/>
        <w:tblLook w:firstColumn="1" w:firstRow="1" w:lastColumn="0" w:lastRow="0" w:noHBand="0" w:noVBand="1" w:val="04A0"/>
      </w:tblPr>
      <w:tblGrid>
        <w:gridCol w:w="9288"/>
      </w:tblGrid>
      <w:tr>
        <w:tc>
          <w:tcPr>
            <w:tcW w:type="dxa" w:w="10166"/>
            <w:shd w:fill="FDECEC"/>
            <w:tcMar>
              <w:top w:w="120" w:type="dxa"/>
              <w:start w:w="150" w:type="dxa"/>
              <w:bottom w:w="120" w:type="dxa"/>
              <w:end w:w="150" w:type="dxa"/>
            </w:tcMar>
          </w:tcPr>
          <w:p>
            <w:pPr>
              <w:spacing w:after="60"/>
            </w:pPr>
            <w:r>
              <w:rPr>
                <w:rFonts w:ascii="Arial" w:hAnsi="Arial"/>
                <w:b/>
                <w:color w:val="8A1C1C"/>
                <w:sz w:val="20"/>
              </w:rPr>
              <w:t>Do not send secrets</w:t>
            </w:r>
          </w:p>
          <w:p>
            <w:pPr>
              <w:spacing w:after="0"/>
            </w:pPr>
            <w:r>
              <w:rPr>
                <w:rFonts w:ascii="Arial" w:hAnsi="Arial"/>
                <w:color w:val="2A3036"/>
                <w:sz w:val="19"/>
              </w:rPr>
              <w:t>Never send the raw SORTVIEW_API_TOKEN, database credentials, or other secrets in screenshots or support messages.</w:t>
            </w:r>
          </w:p>
        </w:tc>
      </w:tr>
    </w:tbl>
    <w:p>
      <w:pPr>
        <w:pStyle w:val="Heading2"/>
      </w:pPr>
      <w:r>
        <w:t>Authorization failures</w:t>
      </w:r>
    </w:p>
    <w:p>
      <w:pPr/>
      <w:r>
        <w:t>If status.json or Collector output reports HTTP 403 with "Agent is not currently authorized to upload data", do not reinstall the Collector, guess new IDs, or replace the token unless SortView support instructs you to. The library or branch may be suspended/inactive, or its operational mapping may require review. Capture the error and contact SortView support without sending the raw API token.</w:t>
      </w:r>
    </w:p>
    <w:p>
      <w:pPr>
        <w:pStyle w:val="Heading2"/>
        <w:keepNext/>
      </w:pPr>
      <w:r>
        <w:t>Useful read-only checks</w:t>
      </w:r>
    </w:p>
    <w:p>
      <w:pPr>
        <w:pStyle w:val="CodeBlock"/>
      </w:pPr>
      <w:r>
        <w:rPr>
          <w:rFonts w:ascii="Courier New" w:hAnsi="Courier New"/>
          <w:color w:val="202A32"/>
          <w:sz w:val="18"/>
        </w:rPr>
        <w:t>Get-ScheduledTask -TaskName "SortView Collector" | Select-Object TaskName, State</w:t>
      </w:r>
      <w:r>
        <w:br/>
      </w:r>
      <w:r>
        <w:rPr>
          <w:rFonts w:ascii="Courier New" w:hAnsi="Courier New"/>
          <w:color w:val="202A32"/>
          <w:sz w:val="18"/>
        </w:rPr>
        <w:t>Get-ScheduledTaskInfo -TaskName "SortView Collector" | Select-Object LastRunTime, LastTaskResult, NextRunTime</w:t>
      </w:r>
      <w:r>
        <w:br/>
      </w:r>
      <w:r>
        <w:rPr>
          <w:rFonts w:ascii="Courier New" w:hAnsi="Courier New"/>
          <w:color w:val="202A32"/>
          <w:sz w:val="18"/>
        </w:rPr>
        <w:t>Get-Content "C:\ProgramData\SortViewCollector\data\status.json"</w:t>
      </w:r>
    </w:p>
    <w:p>
      <w:pPr>
        <w:pStyle w:val="Heading1"/>
        <w:keepNext/>
      </w:pPr>
      <w:r>
        <w:t xml:space="preserve">12. </w:t>
      </w:r>
      <w:r>
        <w:t>Uninstalling</w:t>
      </w:r>
    </w:p>
    <w:p>
      <w:r>
        <w:t>Run the shipped uninstaller from the extracted package root:</w:t>
      </w:r>
    </w:p>
    <w:p>
      <w:pPr>
        <w:pStyle w:val="CodeBlock"/>
      </w:pPr>
      <w:r>
        <w:rPr>
          <w:rFonts w:ascii="Courier New" w:hAnsi="Courier New"/>
          <w:color w:val="202A32"/>
          <w:sz w:val="18"/>
        </w:rPr>
        <w:t>.\tools\uninstall.ps1</w:t>
      </w:r>
    </w:p>
    <w:p>
      <w:r>
        <w:t>By default, the uninstaller removes the Scheduled Task and application runtime but preserves configuration/state/logs and the Machine-scope API token. This supports troubleshooting or a reinstall.</w:t>
      </w:r>
    </w:p>
    <w:tbl>
      <w:tblPr>
        <w:tblW w:type="auto" w:w="0"/>
        <w:jc w:val="center"/>
        <w:tblLayout w:type="fixed"/>
        <w:tblLook w:firstColumn="1" w:firstRow="1" w:lastColumn="0" w:lastRow="0" w:noHBand="0" w:noVBand="1" w:val="04A0"/>
      </w:tblPr>
      <w:tblGrid>
        <w:gridCol w:w="9288"/>
      </w:tblGrid>
      <w:tr>
        <w:tc>
          <w:tcPr>
            <w:tcW w:type="dxa" w:w="10166"/>
            <w:shd w:fill="FFF4D6"/>
            <w:tcMar>
              <w:top w:w="120" w:type="dxa"/>
              <w:start w:w="150" w:type="dxa"/>
              <w:bottom w:w="120" w:type="dxa"/>
              <w:end w:w="150" w:type="dxa"/>
            </w:tcMar>
          </w:tcPr>
          <w:p>
            <w:pPr>
              <w:spacing w:after="60"/>
            </w:pPr>
            <w:r>
              <w:rPr>
                <w:rFonts w:ascii="Arial" w:hAnsi="Arial"/>
                <w:b/>
                <w:color w:val="7A5600"/>
                <w:sz w:val="20"/>
              </w:rPr>
              <w:t>Permanent removal</w:t>
            </w:r>
          </w:p>
          <w:p>
            <w:pPr>
              <w:spacing w:after="0"/>
            </w:pPr>
            <w:r>
              <w:rPr>
                <w:rFonts w:ascii="Arial" w:hAnsi="Arial"/>
                <w:color w:val="2A3036"/>
                <w:sz w:val="19"/>
              </w:rPr>
              <w:t>Use -PurgeData only when you intentionally want to permanently delete SortView configuration, state, status, and logs. The API token must still be removed separately if the machine is being decommissioned.</w:t>
            </w:r>
          </w:p>
        </w:tc>
      </w:tr>
    </w:tbl>
    <w:p>
      <w:pPr>
        <w:pStyle w:val="CodeBlock"/>
      </w:pPr>
      <w:r>
        <w:rPr>
          <w:rFonts w:ascii="Courier New" w:hAnsi="Courier New"/>
          <w:color w:val="202A32"/>
          <w:sz w:val="18"/>
        </w:rPr>
        <w:t>.\tools\uninstall.ps1 -PurgeData</w:t>
      </w:r>
      <w:r>
        <w:br/>
      </w:r>
      <w:r>
        <w:rPr>
          <w:rFonts w:ascii="Courier New" w:hAnsi="Courier New"/>
          <w:color w:val="202A32"/>
          <w:sz w:val="18"/>
        </w:rPr>
        <w:t>[Environment]::SetEnvironmentVariable("SORTVIEW_API_TOKEN", $null, "Machine")</w:t>
      </w:r>
    </w:p>
    <w:p>
      <w:pPr>
        <w:pStyle w:val="Heading1"/>
        <w:keepNext/>
      </w:pPr>
      <w:r>
        <w:t xml:space="preserve">13. </w:t>
      </w:r>
      <w:r>
        <w:t>Installation completion checklist</w:t>
      </w:r>
    </w:p>
    <w:p>
      <w:r>
        <w:rPr>
          <w:rFonts w:ascii="Arial" w:hAnsi="Arial"/>
          <w:color w:val="0F6173"/>
          <w:sz w:val="22"/>
        </w:rPr>
        <w:t xml:space="preserve">☐  </w:t>
      </w:r>
      <w:r>
        <w:t>Package manifest verified successfully.</w:t>
      </w:r>
    </w:p>
    <w:p>
      <w:r>
        <w:rPr>
          <w:rFonts w:ascii="Arial" w:hAnsi="Arial"/>
          <w:color w:val="0F6173"/>
          <w:sz w:val="22"/>
        </w:rPr>
        <w:t xml:space="preserve">☐  </w:t>
      </w:r>
      <w:r>
        <w:t>Collector installed to C:\SortView\Collector.</w:t>
      </w:r>
    </w:p>
    <w:p>
      <w:r>
        <w:rPr>
          <w:rFonts w:ascii="Arial" w:hAnsi="Arial"/>
          <w:color w:val="0F6173"/>
          <w:sz w:val="22"/>
        </w:rPr>
        <w:t>☐  Operational Customer ID / Operational Branch ID configuration reviewed.</w:t>
      </w:r>
      <w:r/>
    </w:p>
    <w:p>
      <w:r>
        <w:rPr>
          <w:rFonts w:ascii="Arial" w:hAnsi="Arial"/>
          <w:color w:val="0F6173"/>
          <w:sz w:val="22"/>
        </w:rPr>
        <w:t xml:space="preserve">☐  </w:t>
      </w:r>
      <w:r>
        <w:t>Private Machine-scope API token set.</w:t>
      </w:r>
    </w:p>
    <w:p>
      <w:r>
        <w:rPr>
          <w:rFonts w:ascii="Arial" w:hAnsi="Arial"/>
          <w:color w:val="0F6173"/>
          <w:sz w:val="22"/>
        </w:rPr>
        <w:t xml:space="preserve">☐  </w:t>
      </w:r>
      <w:r>
        <w:t>Interactive preflight: PASS.</w:t>
      </w:r>
    </w:p>
    <w:p>
      <w:r>
        <w:rPr>
          <w:rFonts w:ascii="Arial" w:hAnsi="Arial"/>
          <w:color w:val="0F6173"/>
          <w:sz w:val="22"/>
        </w:rPr>
        <w:t xml:space="preserve">☐  </w:t>
      </w:r>
      <w:r>
        <w:t>SYSTEM-context preflight: PASS.</w:t>
      </w:r>
    </w:p>
    <w:p>
      <w:r>
        <w:rPr>
          <w:rFonts w:ascii="Arial" w:hAnsi="Arial"/>
          <w:color w:val="0F6173"/>
          <w:sz w:val="22"/>
        </w:rPr>
        <w:t xml:space="preserve">☐  </w:t>
      </w:r>
      <w:r>
        <w:t>Starting cursor bootstrapped for all configured sources.</w:t>
      </w:r>
    </w:p>
    <w:p>
      <w:r>
        <w:rPr>
          <w:rFonts w:ascii="Arial" w:hAnsi="Arial"/>
          <w:color w:val="0F6173"/>
          <w:sz w:val="22"/>
        </w:rPr>
        <w:t xml:space="preserve">☐  </w:t>
      </w:r>
      <w:r>
        <w:t>Scheduled Task registered initially Disabled.</w:t>
      </w:r>
    </w:p>
    <w:p>
      <w:r>
        <w:rPr>
          <w:rFonts w:ascii="Arial" w:hAnsi="Arial"/>
          <w:color w:val="0F6173"/>
          <w:sz w:val="22"/>
        </w:rPr>
        <w:t xml:space="preserve">☐  </w:t>
      </w:r>
      <w:r>
        <w:t>Scheduled Task enabled only after validation.</w:t>
      </w:r>
    </w:p>
    <w:p>
      <w:r>
        <w:rPr>
          <w:rFonts w:ascii="Arial" w:hAnsi="Arial"/>
          <w:color w:val="0F6173"/>
          <w:sz w:val="22"/>
        </w:rPr>
        <w:t xml:space="preserve">☐  </w:t>
      </w:r>
      <w:r>
        <w:t>First scheduled/manual run returned LastTaskResult = 0.</w:t>
      </w:r>
    </w:p>
    <w:p>
      <w:r>
        <w:rPr>
          <w:rFonts w:ascii="Arial" w:hAnsi="Arial"/>
          <w:color w:val="0F6173"/>
          <w:sz w:val="22"/>
        </w:rPr>
        <w:t xml:space="preserve">☐  </w:t>
      </w:r>
      <w:r>
        <w:t>status.json reviewed; no unexpected missing/rotated/truncated sources.</w:t>
      </w:r>
    </w:p>
    <w:p>
      <w:pPr>
        <w:spacing w:before="280"/>
        <w:jc w:val="center"/>
      </w:pPr>
      <w:r>
        <w:rPr>
          <w:rFonts w:ascii="Arial" w:hAnsi="Arial"/>
          <w:b/>
          <w:color w:val="142E3D"/>
          <w:sz w:val="28"/>
        </w:rPr>
        <w:t>Installation complete</w:t>
      </w:r>
    </w:p>
    <w:p>
      <w:pPr>
        <w:jc w:val="center"/>
      </w:pPr>
      <w:r>
        <w:rPr>
          <w:rFonts w:ascii="Arial" w:hAnsi="Arial"/>
          <w:color w:val="495B66"/>
          <w:sz w:val="19"/>
        </w:rPr>
        <w:t>SortView Collector should remain enabled on a production machine so it can run every 15 minutes.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6912"/>
      <w:gridCol w:w="2376"/>
    </w:tblGrid>
    <w:tr>
      <w:tc>
        <w:tcPr>
          <w:tcW w:type="dxa" w:w="4644"/>
        </w:tcPr>
        <w:p>
          <w:r>
            <w:rPr>
              <w:rFonts w:ascii="Arial" w:hAnsi="Arial"/>
              <w:color w:val="6E787E"/>
              <w:sz w:val="16"/>
            </w:rPr>
            <w:t>SortView Collector 1.0.2  |  Pilot release</w:t>
          </w:r>
        </w:p>
      </w:tc>
      <w:tc>
        <w:tcPr>
          <w:tcW w:type="dxa" w:w="4644"/>
        </w:tcPr>
        <w:p>
          <w:pPr>
            <w:jc w:val="right"/>
          </w:pPr>
          <w:r>
            <w:rPr>
              <w:rFonts w:ascii="Arial" w:hAnsi="Arial"/>
              <w:color w:val="6E787E"/>
              <w:sz w:val="16"/>
            </w:rPr>
            <w:t>Customer copy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7E0E7"/>
      </w:pBdr>
    </w:pPr>
    <w:r>
      <w:rPr>
        <w:rFonts w:ascii="Arial" w:hAnsi="Arial"/>
        <w:b/>
        <w:color w:val="5B6B74"/>
        <w:sz w:val="17"/>
      </w:rPr>
      <w:t>SORTVIEW  |  CUSTOMER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42E3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F61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142E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i/>
      <w:iCs/>
      <w:color w:val="495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40"/>
      <w:ind w:left="259" w:right="259"/>
      <w:shd w:fill="F3F5F6"/>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SortView Collector 1.0.2 Customer Installation Guide</dc:title>
  <dc:subject>Customer installation and first-run validation for SortView Collector 1.0.2</dc:subject>
  <dc:creator>SortView</dc:creator>
  <cp:keywords>SortView, Collector, installation, Tech Logic, AMH</cp:keywords>
  <dc:description>generated by python-docx</dc:description>
  <cp:lastModifiedBy/>
  <cp:revision>1</cp:revision>
  <dcterms:created xsi:type="dcterms:W3CDTF">2013-12-23T23:15:00Z</dcterms:created>
  <dcterms:modified xsi:type="dcterms:W3CDTF">2013-12-23T23:15:00Z</dcterms:modified>
  <cp:category/>
</cp:coreProperties>
</file>