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5" w:name="annexure-outline"/>
    <w:p>
      <w:pPr>
        <w:pStyle w:val="Heading1"/>
      </w:pPr>
      <w:r>
        <w:t xml:space="preserve">Annexure Outline</w:t>
      </w:r>
    </w:p>
    <w:p>
      <w:pPr>
        <w:pStyle w:val="FirstParagraph"/>
      </w:pPr>
      <w:r>
        <w:t xml:space="preserve">Company identification and section outline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Start w:id="10" w:name="company-identification"/>
    <w:p>
      <w:pPr>
        <w:pStyle w:val="Heading2"/>
      </w:pPr>
      <w:r>
        <w:t xml:space="preserve">Company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0"/>
    <w:bookmarkStart w:id="11" w:name="annexure-1-outline"/>
    <w:p>
      <w:pPr>
        <w:pStyle w:val="Heading2"/>
      </w:pPr>
      <w:r>
        <w:t xml:space="preserve">Annexure-1 Outline</w:t>
      </w:r>
    </w:p>
    <w:p>
      <w:pPr>
        <w:pStyle w:val="FirstParagraph"/>
      </w:pPr>
      <w:r>
        <w:t xml:space="preserve">Purpose: Applicant details and proposed solution summary for the iDEX Open Challenge.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1"/>
        </w:numPr>
      </w:pPr>
      <w:r>
        <w:t xml:space="preserve">Company and applicant details.</w:t>
      </w:r>
    </w:p>
    <w:p>
      <w:pPr>
        <w:pStyle w:val="Compact"/>
        <w:numPr>
          <w:ilvl w:val="0"/>
          <w:numId w:val="1001"/>
        </w:numPr>
      </w:pPr>
      <w:r>
        <w:t xml:space="preserve">Challenge title.</w:t>
      </w:r>
    </w:p>
    <w:p>
      <w:pPr>
        <w:pStyle w:val="Compact"/>
        <w:numPr>
          <w:ilvl w:val="0"/>
          <w:numId w:val="1001"/>
        </w:numPr>
      </w:pPr>
      <w:r>
        <w:t xml:space="preserve">Intended defence end-user profile.</w:t>
      </w:r>
    </w:p>
    <w:p>
      <w:pPr>
        <w:pStyle w:val="Compact"/>
        <w:numPr>
          <w:ilvl w:val="0"/>
          <w:numId w:val="1001"/>
        </w:numPr>
      </w:pPr>
      <w:r>
        <w:t xml:space="preserve">Brief solution summary under 250 words.</w:t>
      </w:r>
    </w:p>
    <w:p>
      <w:pPr>
        <w:pStyle w:val="Compact"/>
        <w:numPr>
          <w:ilvl w:val="0"/>
          <w:numId w:val="1001"/>
        </w:numPr>
      </w:pPr>
      <w:r>
        <w:t xml:space="preserve">Key technologies used.</w:t>
      </w:r>
    </w:p>
    <w:p>
      <w:pPr>
        <w:pStyle w:val="Compact"/>
        <w:numPr>
          <w:ilvl w:val="0"/>
          <w:numId w:val="1001"/>
        </w:numPr>
      </w:pPr>
      <w:r>
        <w:t xml:space="preserve">Deliverables table.</w:t>
      </w:r>
    </w:p>
    <w:p>
      <w:pPr>
        <w:pStyle w:val="Compact"/>
        <w:numPr>
          <w:ilvl w:val="0"/>
          <w:numId w:val="1001"/>
        </w:numPr>
      </w:pPr>
      <w:r>
        <w:t xml:space="preserve">Phase-wise 12-month timeline.</w:t>
      </w:r>
    </w:p>
    <w:bookmarkEnd w:id="11"/>
    <w:bookmarkStart w:id="12" w:name="annexure-2-outline"/>
    <w:p>
      <w:pPr>
        <w:pStyle w:val="Heading2"/>
      </w:pPr>
      <w:r>
        <w:t xml:space="preserve">Annexure-2 Outline</w:t>
      </w:r>
    </w:p>
    <w:p>
      <w:pPr>
        <w:pStyle w:val="FirstParagraph"/>
      </w:pPr>
      <w:r>
        <w:t xml:space="preserve">Purpose: Technical architecture and implementation approach.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2"/>
        </w:numPr>
      </w:pPr>
      <w:r>
        <w:t xml:space="preserve">NEXUS Guard execution-governance architecture.</w:t>
      </w:r>
    </w:p>
    <w:p>
      <w:pPr>
        <w:pStyle w:val="Compact"/>
        <w:numPr>
          <w:ilvl w:val="0"/>
          <w:numId w:val="1002"/>
        </w:numPr>
      </w:pPr>
      <w:r>
        <w:t xml:space="preserve">ExecutionGuard first-deny-wins flow.</w:t>
      </w:r>
    </w:p>
    <w:p>
      <w:pPr>
        <w:pStyle w:val="Compact"/>
        <w:numPr>
          <w:ilvl w:val="0"/>
          <w:numId w:val="1002"/>
        </w:numPr>
      </w:pPr>
      <w:r>
        <w:t xml:space="preserve">TELOS consequence-budget flow.</w:t>
      </w:r>
    </w:p>
    <w:p>
      <w:pPr>
        <w:pStyle w:val="Compact"/>
        <w:numPr>
          <w:ilvl w:val="0"/>
          <w:numId w:val="1002"/>
        </w:numPr>
      </w:pPr>
      <w:r>
        <w:t xml:space="preserve">ETK audit and denial-evidence flow.</w:t>
      </w:r>
    </w:p>
    <w:p>
      <w:pPr>
        <w:pStyle w:val="Compact"/>
        <w:numPr>
          <w:ilvl w:val="0"/>
          <w:numId w:val="1002"/>
        </w:numPr>
      </w:pPr>
      <w:r>
        <w:t xml:space="preserve">Innovation and feasibility.</w:t>
      </w:r>
    </w:p>
    <w:p>
      <w:pPr>
        <w:pStyle w:val="Compact"/>
        <w:numPr>
          <w:ilvl w:val="0"/>
          <w:numId w:val="1002"/>
        </w:numPr>
      </w:pPr>
      <w:r>
        <w:t xml:space="preserve">Challenges and mitigation.</w:t>
      </w:r>
    </w:p>
    <w:p>
      <w:pPr>
        <w:pStyle w:val="Compact"/>
        <w:numPr>
          <w:ilvl w:val="0"/>
          <w:numId w:val="1002"/>
        </w:numPr>
      </w:pPr>
      <w:r>
        <w:t xml:space="preserve">Architecture diagrams and defence use cases.</w:t>
      </w:r>
    </w:p>
    <w:bookmarkEnd w:id="12"/>
    <w:bookmarkStart w:id="13" w:name="annexure-3-outline"/>
    <w:p>
      <w:pPr>
        <w:pStyle w:val="Heading2"/>
      </w:pPr>
      <w:r>
        <w:t xml:space="preserve">Annexure-3 Outline</w:t>
      </w:r>
    </w:p>
    <w:p>
      <w:pPr>
        <w:pStyle w:val="FirstParagraph"/>
      </w:pPr>
      <w:r>
        <w:t xml:space="preserve">Purpose: Advantages, product value, commercial value, and competencies.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3"/>
        </w:numPr>
      </w:pPr>
      <w:r>
        <w:t xml:space="preserve">Technology advantages.</w:t>
      </w:r>
    </w:p>
    <w:p>
      <w:pPr>
        <w:pStyle w:val="Compact"/>
        <w:numPr>
          <w:ilvl w:val="0"/>
          <w:numId w:val="1003"/>
        </w:numPr>
      </w:pPr>
      <w:r>
        <w:t xml:space="preserve">Product advantages.</w:t>
      </w:r>
    </w:p>
    <w:p>
      <w:pPr>
        <w:pStyle w:val="Compact"/>
        <w:numPr>
          <w:ilvl w:val="0"/>
          <w:numId w:val="1003"/>
        </w:numPr>
      </w:pPr>
      <w:r>
        <w:t xml:space="preserve">Commercial advantages.</w:t>
      </w:r>
    </w:p>
    <w:p>
      <w:pPr>
        <w:pStyle w:val="Compact"/>
        <w:numPr>
          <w:ilvl w:val="0"/>
          <w:numId w:val="1003"/>
        </w:numPr>
      </w:pPr>
      <w:r>
        <w:t xml:space="preserve">Capabilities and competencies.</w:t>
      </w:r>
    </w:p>
    <w:bookmarkEnd w:id="13"/>
    <w:bookmarkStart w:id="14" w:name="annexure-4-outline"/>
    <w:p>
      <w:pPr>
        <w:pStyle w:val="Heading2"/>
      </w:pPr>
      <w:r>
        <w:t xml:space="preserve">Annexure-4 Outline</w:t>
      </w:r>
    </w:p>
    <w:p>
      <w:pPr>
        <w:pStyle w:val="FirstParagraph"/>
      </w:pPr>
      <w:r>
        <w:t xml:space="preserve">Purpose: Supporting document structure and evidence checklist.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4"/>
        </w:numPr>
      </w:pPr>
      <w:r>
        <w:t xml:space="preserve">Founder resume format.</w:t>
      </w:r>
    </w:p>
    <w:p>
      <w:pPr>
        <w:pStyle w:val="Compact"/>
        <w:numPr>
          <w:ilvl w:val="0"/>
          <w:numId w:val="1004"/>
        </w:numPr>
      </w:pPr>
      <w:r>
        <w:t xml:space="preserve">Prototype evidence list.</w:t>
      </w:r>
    </w:p>
    <w:p>
      <w:pPr>
        <w:pStyle w:val="Compact"/>
        <w:numPr>
          <w:ilvl w:val="0"/>
          <w:numId w:val="1004"/>
        </w:numPr>
      </w:pPr>
      <w:r>
        <w:t xml:space="preserve">Architecture screenshots list.</w:t>
      </w:r>
    </w:p>
    <w:p>
      <w:pPr>
        <w:pStyle w:val="Compact"/>
        <w:numPr>
          <w:ilvl w:val="0"/>
          <w:numId w:val="1004"/>
        </w:numPr>
      </w:pPr>
      <w:r>
        <w:t xml:space="preserve">Demo evidence list.</w:t>
      </w:r>
    </w:p>
    <w:p>
      <w:pPr>
        <w:pStyle w:val="Compact"/>
        <w:numPr>
          <w:ilvl w:val="0"/>
          <w:numId w:val="1004"/>
        </w:numPr>
      </w:pPr>
      <w:r>
        <w:t xml:space="preserve">Technical validation material.</w:t>
      </w:r>
    </w:p>
    <w:p>
      <w:pPr>
        <w:pStyle w:val="Compact"/>
        <w:numPr>
          <w:ilvl w:val="0"/>
          <w:numId w:val="1004"/>
        </w:numPr>
      </w:pPr>
      <w:r>
        <w:t xml:space="preserve">Future deployment scope.</w:t>
      </w:r>
    </w:p>
    <w:bookmarkEnd w:id="14"/>
    <w:bookmarkEnd w:id="15"/>
    <w:bookmarkStart w:id="16" w:name="annexure-1"/>
    <w:p>
      <w:pPr>
        <w:pStyle w:val="Heading1"/>
      </w:pPr>
      <w:r>
        <w:t xml:space="preserve">Annexure-1</w:t>
      </w:r>
    </w:p>
    <w:p>
      <w:pPr>
        <w:pStyle w:val="FirstParagraph"/>
      </w:pPr>
      <w:r>
        <w:t xml:space="preserve">Application and proposed solution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6"/>
    <w:bookmarkStart w:id="26" w:name="X5586dfcd4683f2590afeea6a79b1f902d3bb710"/>
    <w:p>
      <w:pPr>
        <w:pStyle w:val="Heading1"/>
      </w:pPr>
      <w:r>
        <w:t xml:space="preserve">Applicant Details and Proposed Solution Summary</w:t>
      </w:r>
    </w:p>
    <w:bookmarkStart w:id="17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7"/>
    <w:bookmarkStart w:id="18" w:name="applicant-details"/>
    <w:p>
      <w:pPr>
        <w:pStyle w:val="Heading2"/>
      </w:pPr>
      <w:r>
        <w:t xml:space="preserve">1. Applicant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Startup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/ Platform Name</w:t>
            </w:r>
          </w:p>
        </w:tc>
        <w:tc>
          <w:tcPr/>
          <w:p>
            <w:pPr>
              <w:pStyle w:val="Compact"/>
            </w:pPr>
            <w:r>
              <w:t xml:space="preserve">NEXUS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Defence End User</w:t>
            </w:r>
          </w:p>
        </w:tc>
        <w:tc>
          <w:tcPr/>
          <w:p>
            <w:pPr>
              <w:pStyle w:val="Compact"/>
            </w:pPr>
            <w:r>
              <w:t xml:space="preserve">Indian Armed Forces, DRDO laboratories, defence AI/autonomy program offices, command-and-control assurance teams, unmanned systems operators, ISR workflow teams, and defence system integrators evaluating autonomous mission software.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Name</w:t>
            </w:r>
          </w:p>
        </w:tc>
        <w:tc>
          <w:tcPr/>
          <w:p>
            <w:pPr>
              <w:pStyle w:val="Compact"/>
            </w:pPr>
            <w:r>
              <w:t xml:space="preserve">K. Naga Sri Ganesh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 Address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 / Incorporation Number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DPIIT, Certificate No.</w:t>
            </w:r>
          </w:p>
        </w:tc>
        <w:tc>
          <w:tcPr/>
          <w:p>
            <w:pPr>
              <w:pStyle w:val="Compact"/>
            </w:pPr>
            <w:r>
              <w:t xml:space="preserve">DIPP215355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Project Duration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8"/>
    <w:bookmarkStart w:id="19" w:name="final-challenge-title"/>
    <w:p>
      <w:pPr>
        <w:pStyle w:val="Heading2"/>
      </w:pPr>
      <w:r>
        <w:t xml:space="preserve">2. Final Challenge Title</w:t>
      </w:r>
    </w:p>
    <w:p>
      <w:pPr>
        <w:pStyle w:val="FirstParagraph"/>
      </w:pPr>
      <w:r>
        <w:t xml:space="preserve">NEXUS Guard: Governed Execution Layer for Unauthorized Autonomous Action Prevention</w:t>
      </w:r>
    </w:p>
    <w:bookmarkEnd w:id="19"/>
    <w:bookmarkStart w:id="20" w:name="intended-defence-end-users"/>
    <w:p>
      <w:pPr>
        <w:pStyle w:val="Heading2"/>
      </w:pPr>
      <w:r>
        <w:t xml:space="preserve">3. Intended Defence End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End-User Group</w:t>
            </w:r>
          </w:p>
        </w:tc>
        <w:tc>
          <w:tcPr/>
          <w:p>
            <w:pPr>
              <w:pStyle w:val="Compact"/>
            </w:pPr>
            <w:r>
              <w:t xml:space="preserve">Operational Need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Army, Navy, and Air Force autonomous systems units</w:t>
            </w:r>
          </w:p>
        </w:tc>
        <w:tc>
          <w:tcPr/>
          <w:p>
            <w:pPr>
              <w:pStyle w:val="Compact"/>
            </w:pPr>
            <w:r>
              <w:t xml:space="preserve">Pre-execution control for unmanned, ISR, logistics, command-support, and AI-enabled mission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DRDO laboratories and defence R&amp;D evaluators</w:t>
            </w:r>
          </w:p>
        </w:tc>
        <w:tc>
          <w:tcPr/>
          <w:p>
            <w:pPr>
              <w:pStyle w:val="Compact"/>
            </w:pPr>
            <w:r>
              <w:t xml:space="preserve">Technical assurance layer for testing autonomous agents and verifying execution-denial behavior under controlled evaluation.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Command-and-control assurance teams</w:t>
            </w:r>
          </w:p>
        </w:tc>
        <w:tc>
          <w:tcPr/>
          <w:p>
            <w:pPr>
              <w:pStyle w:val="Compact"/>
            </w:pPr>
            <w:r>
              <w:t xml:space="preserve">Evidence showing which autonomous system attempted an action, which policy gate was applied, and whether the action was approved, denied, or escalated.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 and intelligence workflow operators</w:t>
            </w:r>
          </w:p>
        </w:tc>
        <w:tc>
          <w:tcPr/>
          <w:p>
            <w:pPr>
              <w:pStyle w:val="Compact"/>
            </w:pPr>
            <w:r>
              <w:t xml:space="preserve">Controlled execution of automated tasking, sensor-analysis chains, data access, and downstream autonomous tool invocation.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cyber and AI security teams</w:t>
            </w:r>
          </w:p>
        </w:tc>
        <w:tc>
          <w:tcPr/>
          <w:p>
            <w:pPr>
              <w:pStyle w:val="Compact"/>
            </w:pPr>
            <w:r>
              <w:t xml:space="preserve">Prevention of unauthorized tool escalation, policy bypass attempts, replay attempts, and unaccountable non-human execution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PSUs and mission system integrators</w:t>
            </w:r>
          </w:p>
        </w:tc>
        <w:tc>
          <w:tcPr/>
          <w:p>
            <w:pPr>
              <w:pStyle w:val="Compact"/>
            </w:pPr>
            <w:r>
              <w:t xml:space="preserve">Deployable guard layer that can wrap existing agents, APIs, tools, and edge services without replacing mission software.</w:t>
            </w:r>
          </w:p>
        </w:tc>
      </w:tr>
    </w:tbl>
    <w:bookmarkEnd w:id="20"/>
    <w:bookmarkStart w:id="21" w:name="a.-brief-summary-of-proposed-solution"/>
    <w:p>
      <w:pPr>
        <w:pStyle w:val="Heading2"/>
      </w:pPr>
      <w:r>
        <w:t xml:space="preserve">4. A. Brief Summary of Proposed Solution</w:t>
      </w:r>
    </w:p>
    <w:p>
      <w:pPr>
        <w:pStyle w:val="FirstParagraph"/>
      </w:pPr>
      <w:r>
        <w:t xml:space="preserve">Autonomous defence systems can move from sensing to action faster than conventional command review, logging, or after-action audit can control. The core assurance problem is whether any high-consequence autonomous command can execute without authorization, mission policy approval, and reviewable evidence.</w:t>
      </w:r>
    </w:p>
    <w:p>
      <w:pPr>
        <w:pStyle w:val="BodyText"/>
      </w:pPr>
      <w:r>
        <w:t xml:space="preserve">NEXUS Guard is a governed execution layer for autonomous software agents, robotic control stacks, and mission decision services. It places a mandatory ExecutionGuard in front of protected actions. A command that does not satisfy authorization, policy, context, and consequence constraints is denied before execution. Denied commands do not generate success proofs or execution-cache artifacts. Approved commands generate ETK-compatible audit evidence and TELOS consequence accounting so reviewers can reconstruct why execution was allowed.</w:t>
      </w:r>
    </w:p>
    <w:p>
      <w:pPr>
        <w:pStyle w:val="BodyText"/>
      </w:pPr>
      <w:r>
        <w:t xml:space="preserve">The proposed 12-month prototype will demonstrate a red-team scenario where unauthorized autonomous execution is blocked, no proof/cache is generated for the denied path, and an authorized action produces a verifiable execution record. Current evidence is software subsystem TRL 3-4, with hardware-in-loop validation proposed under the iDEX effort.</w:t>
      </w:r>
    </w:p>
    <w:bookmarkEnd w:id="21"/>
    <w:bookmarkStart w:id="22" w:name="critical-defence-problems-addressed"/>
    <w:p>
      <w:pPr>
        <w:pStyle w:val="Heading2"/>
      </w:pPr>
      <w:r>
        <w:t xml:space="preserve">5. Critical Defence Problems Addressed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Critical Problem</w:t>
            </w:r>
          </w:p>
        </w:tc>
        <w:tc>
          <w:tcPr/>
          <w:p>
            <w:pPr>
              <w:pStyle w:val="Compact"/>
            </w:pPr>
            <w:r>
              <w:t xml:space="preserve">Operational Relevance For Defence Users</w:t>
            </w:r>
          </w:p>
        </w:tc>
        <w:tc>
          <w:tcPr/>
          <w:p>
            <w:pPr>
              <w:pStyle w:val="Compact"/>
            </w:pPr>
            <w:r>
              <w:t xml:space="preserve">Proposed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high-consequence execution</w:t>
            </w:r>
          </w:p>
        </w:tc>
        <w:tc>
          <w:tcPr/>
          <w:p>
            <w:pPr>
              <w:pStyle w:val="Compact"/>
            </w:pPr>
            <w:r>
              <w:t xml:space="preserve">Autonomous agents, tools, or mission software may attempt restricted actions before a human or command authority can intervene.</w:t>
            </w:r>
          </w:p>
        </w:tc>
        <w:tc>
          <w:tcPr/>
          <w:p>
            <w:pPr>
              <w:pStyle w:val="Compact"/>
            </w:pPr>
            <w:r>
              <w:t xml:space="preserve">NEXUS Guard intercepts protected execution requests and applies first-deny-wins guard evaluation before connected tools or mission actions are invoked.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bypass through tool/API calls</w:t>
            </w:r>
          </w:p>
        </w:tc>
        <w:tc>
          <w:tcPr/>
          <w:p>
            <w:pPr>
              <w:pStyle w:val="Compact"/>
            </w:pPr>
            <w:r>
              <w:t xml:space="preserve">AI agents may route dangerous actions through APIs, tool arguments, command paths, or encoded requests.</w:t>
            </w:r>
          </w:p>
        </w:tc>
        <w:tc>
          <w:tcPr/>
          <w:p>
            <w:pPr>
              <w:pStyle w:val="Compact"/>
            </w:pPr>
            <w:r>
              <w:t xml:space="preserve">ExecutionGuard evaluates request structure, action type, policy context, and restricted command classes before allowing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reliable denial evidence</w:t>
            </w:r>
          </w:p>
        </w:tc>
        <w:tc>
          <w:tcPr/>
          <w:p>
            <w:pPr>
              <w:pStyle w:val="Compact"/>
            </w:pPr>
            <w:r>
              <w:t xml:space="preserve">Many systems log only completed activity, leaving blocked or attempted actions poorly documented.</w:t>
            </w:r>
          </w:p>
        </w:tc>
        <w:tc>
          <w:tcPr/>
          <w:p>
            <w:pPr>
              <w:pStyle w:val="Compact"/>
            </w:pPr>
            <w:r>
              <w:t xml:space="preserve">Denied actions produce denial evidence while avoiding success proof/cache artifacts.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High-consequence action without consequence budget</w:t>
            </w:r>
          </w:p>
        </w:tc>
        <w:tc>
          <w:tcPr/>
          <w:p>
            <w:pPr>
              <w:pStyle w:val="Compact"/>
            </w:pPr>
            <w:r>
              <w:t xml:space="preserve">Autonomous systems may repeatedly attempt high-impact actions if no consequence limiter exists.</w:t>
            </w:r>
          </w:p>
        </w:tc>
        <w:tc>
          <w:tcPr/>
          <w:p>
            <w:pPr>
              <w:pStyle w:val="Compact"/>
            </w:pPr>
            <w:r>
              <w:t xml:space="preserve">TELOS consequence budgeting limits repeated high-impact requests under configured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mission logs</w:t>
            </w:r>
          </w:p>
        </w:tc>
        <w:tc>
          <w:tcPr/>
          <w:p>
            <w:pPr>
              <w:pStyle w:val="Compact"/>
            </w:pPr>
            <w:r>
              <w:t xml:space="preserve">Conventional logs can be edited, deleted, reordered, or challenged during after-action review.</w:t>
            </w:r>
          </w:p>
        </w:tc>
        <w:tc>
          <w:tcPr/>
          <w:p>
            <w:pPr>
              <w:pStyle w:val="Compact"/>
            </w:pPr>
            <w:r>
              <w:t xml:space="preserve">ETK-compatible audit records capture hash-linked execution evidence for allowed actions and denial traces.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Delegated authority ambiguity</w:t>
            </w:r>
          </w:p>
        </w:tc>
        <w:tc>
          <w:tcPr/>
          <w:p>
            <w:pPr>
              <w:pStyle w:val="Compact"/>
            </w:pPr>
            <w:r>
              <w:t xml:space="preserve">Multi-agent workflows may obscure whether the acting agent had authority for a specific command.</w:t>
            </w:r>
          </w:p>
        </w:tc>
        <w:tc>
          <w:tcPr/>
          <w:p>
            <w:pPr>
              <w:pStyle w:val="Compact"/>
            </w:pPr>
            <w:r>
              <w:t xml:space="preserve">Guard context records identity, authority scope, policy result, and reason codes for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Contested or disconnected verification</w:t>
            </w:r>
          </w:p>
        </w:tc>
        <w:tc>
          <w:tcPr/>
          <w:p>
            <w:pPr>
              <w:pStyle w:val="Compact"/>
            </w:pPr>
            <w:r>
              <w:t xml:space="preserve">Forward or air-gapped environments may not have continuous cloud validation.</w:t>
            </w:r>
          </w:p>
        </w:tc>
        <w:tc>
          <w:tcPr/>
          <w:p>
            <w:pPr>
              <w:pStyle w:val="Compact"/>
            </w:pPr>
            <w:r>
              <w:t xml:space="preserve">The prototype supports local policy bundles and portable audit evidence for offline review.</w:t>
            </w:r>
          </w:p>
        </w:tc>
      </w:tr>
    </w:tbl>
    <w:bookmarkEnd w:id="22"/>
    <w:bookmarkStart w:id="23" w:name="b.-key-technologies-used"/>
    <w:p>
      <w:pPr>
        <w:pStyle w:val="Heading2"/>
      </w:pPr>
      <w:r>
        <w:t xml:space="preserve">6. B. Key Technologies Used</w:t>
      </w:r>
    </w:p>
    <w:p>
      <w:pPr>
        <w:pStyle w:val="Compact"/>
        <w:numPr>
          <w:ilvl w:val="0"/>
          <w:numId w:val="1005"/>
        </w:numPr>
      </w:pPr>
      <w:r>
        <w:t xml:space="preserve">ExecutionGuard runtime governance</w:t>
      </w:r>
    </w:p>
    <w:p>
      <w:pPr>
        <w:pStyle w:val="Compact"/>
        <w:numPr>
          <w:ilvl w:val="0"/>
          <w:numId w:val="1005"/>
        </w:numPr>
      </w:pPr>
      <w:r>
        <w:t xml:space="preserve">TELOS consequence budgeting</w:t>
      </w:r>
    </w:p>
    <w:p>
      <w:pPr>
        <w:pStyle w:val="Compact"/>
        <w:numPr>
          <w:ilvl w:val="0"/>
          <w:numId w:val="1005"/>
        </w:numPr>
      </w:pPr>
      <w:r>
        <w:t xml:space="preserve">ETK audit evidence</w:t>
      </w:r>
    </w:p>
    <w:p>
      <w:pPr>
        <w:pStyle w:val="Compact"/>
        <w:numPr>
          <w:ilvl w:val="0"/>
          <w:numId w:val="1005"/>
        </w:numPr>
      </w:pPr>
      <w:r>
        <w:t xml:space="preserve">Proof-carrying unit patterns</w:t>
      </w:r>
    </w:p>
    <w:p>
      <w:pPr>
        <w:pStyle w:val="Compact"/>
        <w:numPr>
          <w:ilvl w:val="0"/>
          <w:numId w:val="1005"/>
        </w:numPr>
      </w:pPr>
      <w:r>
        <w:t xml:space="preserve">Rust policy enforcement</w:t>
      </w:r>
    </w:p>
    <w:p>
      <w:pPr>
        <w:pStyle w:val="Compact"/>
        <w:numPr>
          <w:ilvl w:val="0"/>
          <w:numId w:val="1005"/>
        </w:numPr>
      </w:pPr>
      <w:r>
        <w:t xml:space="preserve">Autonomous systems security</w:t>
      </w:r>
    </w:p>
    <w:bookmarkEnd w:id="23"/>
    <w:bookmarkStart w:id="24" w:name="c.-deliverables"/>
    <w:p>
      <w:pPr>
        <w:pStyle w:val="Heading2"/>
      </w:pPr>
      <w:r>
        <w:t xml:space="preserve">7. C.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Defence-Oriented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Guard Runtime</w:t>
            </w:r>
          </w:p>
        </w:tc>
        <w:tc>
          <w:tcPr/>
          <w:p>
            <w:pPr>
              <w:pStyle w:val="Compact"/>
            </w:pPr>
            <w:r>
              <w:t xml:space="preserve">Inline runtime layer that intercepts autonomous execution requests before protected tool, API, or mission-system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ExecutionGuard Policy Engine</w:t>
            </w:r>
          </w:p>
        </w:tc>
        <w:tc>
          <w:tcPr/>
          <w:p>
            <w:pPr>
              <w:pStyle w:val="Compact"/>
            </w:pPr>
            <w:r>
              <w:t xml:space="preserve">Deterministic policy engine for authority checks, restricted actions, risk thresholds, command boundaries, and mission constraints.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Denial-Path Evidence Module</w:t>
            </w:r>
          </w:p>
        </w:tc>
        <w:tc>
          <w:tcPr/>
          <w:p>
            <w:pPr>
              <w:pStyle w:val="Compact"/>
            </w:pPr>
            <w:r>
              <w:t xml:space="preserve">Demonstrates that unauthorized actions are denied before execution and do not produce success proof/cache artifacts.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Audit Exporter</w:t>
            </w:r>
          </w:p>
        </w:tc>
        <w:tc>
          <w:tcPr/>
          <w:p>
            <w:pPr>
              <w:pStyle w:val="Compact"/>
            </w:pPr>
            <w:r>
              <w:t xml:space="preserve">Produces tamper-evident execution records for allowed actions and structured denial evidence for blocked attempts.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TELOS Consequence Trace</w:t>
            </w:r>
          </w:p>
        </w:tc>
        <w:tc>
          <w:tcPr/>
          <w:p>
            <w:pPr>
              <w:pStyle w:val="Compact"/>
            </w:pPr>
            <w:r>
              <w:t xml:space="preserve">Tracks consequence budgets for repeated or high-impact autonomous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Red-Team Demo Harness</w:t>
            </w:r>
          </w:p>
        </w:tc>
        <w:tc>
          <w:tcPr/>
          <w:p>
            <w:pPr>
              <w:pStyle w:val="Compact"/>
            </w:pPr>
            <w:r>
              <w:t xml:space="preserve">Simulated mission workflow showing unauthorized action denial, allowed action execution, and audit replay.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Dashboard Prototype</w:t>
            </w:r>
          </w:p>
        </w:tc>
        <w:tc>
          <w:tcPr/>
          <w:p>
            <w:pPr>
              <w:pStyle w:val="Compact"/>
            </w:pPr>
            <w:r>
              <w:t xml:space="preserve">Monitoring interface for live execution status, blocked actions, policy decisions, and audit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Artifacts</w:t>
            </w:r>
          </w:p>
        </w:tc>
        <w:tc>
          <w:tcPr/>
          <w:p>
            <w:pPr>
              <w:pStyle w:val="Compact"/>
            </w:pPr>
            <w:r>
              <w:t xml:space="preserve">Docker and local deployment assets for lab, on-premise, and sovereign infrastructure evaluation.</w:t>
            </w:r>
          </w:p>
        </w:tc>
      </w:tr>
    </w:tbl>
    <w:bookmarkEnd w:id="24"/>
    <w:bookmarkStart w:id="25" w:name="d.-proposed-timeline"/>
    <w:p>
      <w:pPr>
        <w:pStyle w:val="Heading2"/>
      </w:pPr>
      <w:r>
        <w:t xml:space="preserve">8. D. Proposed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 1 to Month 2</w:t>
            </w:r>
          </w:p>
        </w:tc>
        <w:tc>
          <w:tcPr/>
          <w:p>
            <w:pPr>
              <w:pStyle w:val="Compact"/>
            </w:pPr>
            <w:r>
              <w:t xml:space="preserve">Architecture Hardening and Requirements Alignment</w:t>
            </w:r>
          </w:p>
        </w:tc>
        <w:tc>
          <w:tcPr/>
          <w:p>
            <w:pPr>
              <w:pStyle w:val="Compact"/>
            </w:pPr>
            <w:r>
              <w:t xml:space="preserve">Finalized defence use cases, threat model, protected-action schema, policy assumptions, and API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 3 to Month 4</w:t>
            </w:r>
          </w:p>
        </w:tc>
        <w:tc>
          <w:tcPr/>
          <w:p>
            <w:pPr>
              <w:pStyle w:val="Compact"/>
            </w:pPr>
            <w:r>
              <w:t xml:space="preserve">ExecutionGuard Runtime Packaging</w:t>
            </w:r>
          </w:p>
        </w:tc>
        <w:tc>
          <w:tcPr/>
          <w:p>
            <w:pPr>
              <w:pStyle w:val="Compact"/>
            </w:pPr>
            <w:r>
              <w:t xml:space="preserve">Guard runtime, context model, authority inputs, reason-code model, and policy rule templates.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 5 to Month 6</w:t>
            </w:r>
          </w:p>
        </w:tc>
        <w:tc>
          <w:tcPr/>
          <w:p>
            <w:pPr>
              <w:pStyle w:val="Compact"/>
            </w:pPr>
            <w:r>
              <w:t xml:space="preserve">Denial-Path and Policy Enforcement</w:t>
            </w:r>
          </w:p>
        </w:tc>
        <w:tc>
          <w:tcPr/>
          <w:p>
            <w:pPr>
              <w:pStyle w:val="Compact"/>
            </w:pPr>
            <w:r>
              <w:t xml:space="preserve">Inline enforcement, unauthorized-action blocking, denial evidence, and no-proof/no-cache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 7 to Month 8</w:t>
            </w:r>
          </w:p>
        </w:tc>
        <w:tc>
          <w:tcPr/>
          <w:p>
            <w:pPr>
              <w:pStyle w:val="Compact"/>
            </w:pPr>
            <w:r>
              <w:t xml:space="preserve">ETK Audit and TELOS Integration</w:t>
            </w:r>
          </w:p>
        </w:tc>
        <w:tc>
          <w:tcPr/>
          <w:p>
            <w:pPr>
              <w:pStyle w:val="Compact"/>
            </w:pPr>
            <w:r>
              <w:t xml:space="preserve">Audit evidence export, consequence trace, hash-linked execution record, and replay-ready evidence packet.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Sovereign Deployment Testing</w:t>
            </w:r>
          </w:p>
        </w:tc>
        <w:tc>
          <w:tcPr/>
          <w:p>
            <w:pPr>
              <w:pStyle w:val="Compact"/>
            </w:pPr>
            <w:r>
              <w:t xml:space="preserve">Local deployment packaging, offline evidence review workflow, and secure configuration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Field Simulation and Red-Team Validation</w:t>
            </w:r>
          </w:p>
        </w:tc>
        <w:tc>
          <w:tcPr/>
          <w:p>
            <w:pPr>
              <w:pStyle w:val="Compact"/>
            </w:pPr>
            <w:r>
              <w:t xml:space="preserve">Simulated autonomous mission workflow, policy-bypass tests, denial checks, and latency measurement.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Month 11</w:t>
            </w:r>
          </w:p>
        </w:tc>
        <w:tc>
          <w:tcPr/>
          <w:p>
            <w:pPr>
              <w:pStyle w:val="Compact"/>
            </w:pPr>
            <w:r>
              <w:t xml:space="preserve">Pilot Integration Preparation</w:t>
            </w:r>
          </w:p>
        </w:tc>
        <w:tc>
          <w:tcPr/>
          <w:p>
            <w:pPr>
              <w:pStyle w:val="Compact"/>
            </w:pPr>
            <w:r>
              <w:t xml:space="preserve">API hardening, dashboard refinement, operational runbook, evaluator documentation, and training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Pilot Demonstration and Final Submission Evidence</w:t>
            </w:r>
          </w:p>
        </w:tc>
        <w:tc>
          <w:tcPr/>
          <w:p>
            <w:pPr>
              <w:pStyle w:val="Compact"/>
            </w:pPr>
            <w:r>
              <w:t xml:space="preserve">Demonstration package, validation report, technical handover, deployment guide, and iDEX evaluation evidence set.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2026-05-17T06:23:08Z</dcterms:created>
  <dcterms:modified xsi:type="dcterms:W3CDTF">2026-05-17T06:23:08Z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