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idex-open-challenge-submission"/>
    <w:p>
      <w:pPr>
        <w:pStyle w:val="Heading1"/>
      </w:pPr>
      <w:r>
        <w:t xml:space="preserve">IDEX OPEN CHALLENGE SUBMISSION</w:t>
      </w:r>
    </w:p>
    <w:bookmarkEnd w:id="9"/>
    <w:bookmarkStart w:id="10" w:name="annexure-3"/>
    <w:p>
      <w:pPr>
        <w:pStyle w:val="Heading1"/>
      </w:pPr>
      <w:r>
        <w:t xml:space="preserve">Annexure-3</w:t>
      </w:r>
    </w:p>
    <w:p>
      <w:pPr>
        <w:pStyle w:val="FirstParagraph"/>
      </w:pPr>
      <w:r>
        <w:t xml:space="preserve">Advantages, capabilities, and competencies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CIN</w:t>
            </w:r>
          </w:p>
        </w:tc>
        <w:tc>
          <w:tcPr/>
          <w:p>
            <w:pPr>
              <w:pStyle w:val="Compact"/>
            </w:pPr>
            <w:r>
              <w:t xml:space="preserve">PAN</w:t>
            </w:r>
          </w:p>
        </w:tc>
        <w:tc>
          <w:tcPr/>
          <w:p>
            <w:pPr>
              <w:pStyle w:val="Compact"/>
            </w:pPr>
            <w:r>
              <w:t xml:space="preserve">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U62011AP2025PTC120239</w:t>
            </w:r>
          </w:p>
        </w:tc>
        <w:tc>
          <w:tcPr/>
          <w:p>
            <w:pPr>
              <w:pStyle w:val="Compact"/>
            </w:pPr>
            <w:r>
              <w:t xml:space="preserve">ABQCS7152R</w:t>
            </w:r>
          </w:p>
        </w:tc>
        <w:tc>
          <w:tcPr/>
          <w:p>
            <w:pPr>
              <w:pStyle w:val="Compact"/>
            </w:pPr>
            <w:r>
              <w:t xml:space="preserve">VPNS31351F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Applicant Entity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Syntriass Labs Private Limited</w:t>
            </w:r>
          </w:p>
        </w:tc>
        <w:tc>
          <w:tcPr/>
          <w:p>
            <w:pPr>
              <w:pStyle w:val="Compact"/>
            </w:pPr>
            <w:r>
              <w:t xml:space="preserve">kattanaga5555@gmail.com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12-50, SLV Market, 12 Ward, Dharmavaram, Ananthapur - 515671, Andhra Pradesh, India</w:t>
            </w:r>
          </w:p>
        </w:tc>
        <w:tc>
          <w:tcPr/>
          <w:p>
            <w:pPr>
              <w:pStyle w:val="Compact"/>
            </w:pPr>
            <w:r>
              <w:t xml:space="preserve">+91 88864 68060</w:t>
            </w:r>
          </w:p>
        </w:tc>
      </w:tr>
    </w:tbl>
    <w:bookmarkEnd w:id="10"/>
    <w:bookmarkStart w:id="17" w:name="advantages-capabilities-and-competencies"/>
    <w:p>
      <w:pPr>
        <w:pStyle w:val="Heading1"/>
      </w:pPr>
      <w:r>
        <w:t xml:space="preserve">Advantages, Capabilities, and Competencies</w:t>
      </w:r>
    </w:p>
    <w:bookmarkStart w:id="11" w:name="company-identification-details"/>
    <w:p>
      <w:pPr>
        <w:pStyle w:val="Heading2"/>
      </w:pPr>
      <w:r>
        <w:t xml:space="preserve">Company Identification Details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Entity Name</w:t>
            </w:r>
          </w:p>
        </w:tc>
        <w:tc>
          <w:tcPr/>
          <w:p>
            <w:pPr>
              <w:pStyle w:val="Compact"/>
            </w:pPr>
            <w:r>
              <w:t xml:space="preserve">Syntriass Labs Private 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CIN</w:t>
            </w:r>
          </w:p>
        </w:tc>
        <w:tc>
          <w:tcPr/>
          <w:p>
            <w:pPr>
              <w:pStyle w:val="Compact"/>
            </w:pPr>
            <w:r>
              <w:t xml:space="preserve">U62011AP2025PTC120239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</w:t>
            </w:r>
          </w:p>
        </w:tc>
        <w:tc>
          <w:tcPr/>
          <w:p>
            <w:pPr>
              <w:pStyle w:val="Compact"/>
            </w:pPr>
            <w:r>
              <w:t xml:space="preserve">ABQCS7152R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</w:t>
            </w:r>
          </w:p>
        </w:tc>
        <w:tc>
          <w:tcPr/>
          <w:p>
            <w:pPr>
              <w:pStyle w:val="Compact"/>
            </w:pPr>
            <w:r>
              <w:t xml:space="preserve">VPNS31351F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Registered Office</w:t>
            </w:r>
          </w:p>
        </w:tc>
        <w:tc>
          <w:tcPr/>
          <w:p>
            <w:pPr>
              <w:pStyle w:val="Compact"/>
            </w:pPr>
            <w:r>
              <w:t xml:space="preserve">12-50, SLV Market, 12 Ward, Dharmavaram, Ananthapur - 515671, Andhra Pradesh, India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Email</w:t>
            </w:r>
          </w:p>
        </w:tc>
        <w:tc>
          <w:tcPr/>
          <w:p>
            <w:pPr>
              <w:pStyle w:val="Compact"/>
            </w:pPr>
            <w:r>
              <w:t xml:space="preserve">kattanaga5555@gmail.com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Phone</w:t>
            </w:r>
          </w:p>
        </w:tc>
        <w:tc>
          <w:tcPr/>
          <w:p>
            <w:pPr>
              <w:pStyle w:val="Compact"/>
            </w:pPr>
            <w:r>
              <w:t xml:space="preserve">+91 88864 68060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 Date</w:t>
            </w:r>
          </w:p>
        </w:tc>
        <w:tc>
          <w:tcPr/>
          <w:p>
            <w:pPr>
              <w:pStyle w:val="Compact"/>
            </w:pPr>
            <w:r>
              <w:t xml:space="preserve">17 May 2026</w:t>
            </w:r>
          </w:p>
        </w:tc>
      </w:tr>
    </w:tbl>
    <w:bookmarkEnd w:id="11"/>
    <w:bookmarkStart w:id="12" w:name="mandatory-defence-problem-fit"/>
    <w:p>
      <w:pPr>
        <w:pStyle w:val="Heading2"/>
      </w:pPr>
      <w:r>
        <w:t xml:space="preserve">Mandatory Defence Problem Fit</w:t>
      </w:r>
    </w:p>
    <w:p>
      <w:pPr>
        <w:pStyle w:val="Compact"/>
        <w:numPr>
          <w:ilvl w:val="0"/>
          <w:numId w:val="1001"/>
        </w:numPr>
      </w:pPr>
      <w:r>
        <w:t xml:space="preserve">Serves Indian Armed Forces, DRDO evaluation teams, command-and-control assurance teams, ISR operators, defence cyber/AI security teams, and defence system integrators responsible for autonomous mission software.</w:t>
      </w:r>
    </w:p>
    <w:p>
      <w:pPr>
        <w:pStyle w:val="Compact"/>
        <w:numPr>
          <w:ilvl w:val="0"/>
          <w:numId w:val="1001"/>
        </w:numPr>
      </w:pPr>
      <w:r>
        <w:t xml:space="preserve">Controls autonomous execution before operational consequence rather than only logging activity after the event.</w:t>
      </w:r>
    </w:p>
    <w:p>
      <w:pPr>
        <w:pStyle w:val="Compact"/>
        <w:numPr>
          <w:ilvl w:val="0"/>
          <w:numId w:val="1001"/>
        </w:numPr>
      </w:pPr>
      <w:r>
        <w:t xml:space="preserve">Provides an explicit guard layer for protected actions across agents, tools, APIs, robot-control software, and mission services.</w:t>
      </w:r>
    </w:p>
    <w:p>
      <w:pPr>
        <w:pStyle w:val="Compact"/>
        <w:numPr>
          <w:ilvl w:val="0"/>
          <w:numId w:val="1001"/>
        </w:numPr>
      </w:pPr>
      <w:r>
        <w:t xml:space="preserve">Records policy decisions, denial reasons, consequence class, request hash, and audit evidence for after-action review.</w:t>
      </w:r>
    </w:p>
    <w:p>
      <w:pPr>
        <w:pStyle w:val="Compact"/>
        <w:numPr>
          <w:ilvl w:val="0"/>
          <w:numId w:val="1001"/>
        </w:numPr>
      </w:pPr>
      <w:r>
        <w:t xml:space="preserve">Supports delegated authority and mission-context checks for autonomous systems operating under layered control.</w:t>
      </w:r>
    </w:p>
    <w:p>
      <w:pPr>
        <w:pStyle w:val="Compact"/>
        <w:numPr>
          <w:ilvl w:val="0"/>
          <w:numId w:val="1001"/>
        </w:numPr>
      </w:pPr>
      <w:r>
        <w:t xml:space="preserve">Reduces risk of unauthorized tool invocation, policy bypass attempts, replay attempts, and unaccountable autonomous actions.</w:t>
      </w:r>
    </w:p>
    <w:p>
      <w:pPr>
        <w:pStyle w:val="Compact"/>
        <w:numPr>
          <w:ilvl w:val="0"/>
          <w:numId w:val="1001"/>
        </w:numPr>
      </w:pPr>
      <w:r>
        <w:t xml:space="preserve">Supports offline and sovereign review through local policy bundles and portable evidence packets.</w:t>
      </w:r>
    </w:p>
    <w:p>
      <w:pPr>
        <w:pStyle w:val="Compact"/>
        <w:numPr>
          <w:ilvl w:val="0"/>
          <w:numId w:val="1001"/>
        </w:numPr>
      </w:pPr>
      <w:r>
        <w:t xml:space="preserve">Provides a common execution-control layer for heterogeneous autonomous clients, APIs, MCP servers, mission tools, and legacy integrations.</w:t>
      </w:r>
    </w:p>
    <w:bookmarkEnd w:id="12"/>
    <w:bookmarkStart w:id="13" w:name="a.-technology-advantages"/>
    <w:p>
      <w:pPr>
        <w:pStyle w:val="Heading2"/>
      </w:pPr>
      <w:r>
        <w:t xml:space="preserve">A. Technology Advantages</w:t>
      </w:r>
    </w:p>
    <w:p>
      <w:pPr>
        <w:pStyle w:val="Compact"/>
        <w:numPr>
          <w:ilvl w:val="0"/>
          <w:numId w:val="1002"/>
        </w:numPr>
      </w:pPr>
      <w:r>
        <w:t xml:space="preserve">Provides mandatory pre-execution control for protected autonomous actions.</w:t>
      </w:r>
    </w:p>
    <w:p>
      <w:pPr>
        <w:pStyle w:val="Compact"/>
        <w:numPr>
          <w:ilvl w:val="0"/>
          <w:numId w:val="1002"/>
        </w:numPr>
      </w:pPr>
      <w:r>
        <w:t xml:space="preserve">Uses a layered ExecutionGuard chain where any denial blocks execution before the protected action is forwarded.</w:t>
      </w:r>
    </w:p>
    <w:p>
      <w:pPr>
        <w:pStyle w:val="Compact"/>
        <w:numPr>
          <w:ilvl w:val="0"/>
          <w:numId w:val="1002"/>
        </w:numPr>
      </w:pPr>
      <w:r>
        <w:t xml:space="preserve">Separates denied execution attempts from successful proof/cache artifacts.</w:t>
      </w:r>
    </w:p>
    <w:p>
      <w:pPr>
        <w:pStyle w:val="Compact"/>
        <w:numPr>
          <w:ilvl w:val="0"/>
          <w:numId w:val="1002"/>
        </w:numPr>
      </w:pPr>
      <w:r>
        <w:t xml:space="preserve">Integrates TELOS consequence budgeting for high-impact action classes.</w:t>
      </w:r>
    </w:p>
    <w:p>
      <w:pPr>
        <w:pStyle w:val="Compact"/>
        <w:numPr>
          <w:ilvl w:val="0"/>
          <w:numId w:val="1002"/>
        </w:numPr>
      </w:pPr>
      <w:r>
        <w:t xml:space="preserve">Produces ETK-compatible audit records for allowed actions and structured denial evidence for blocked attempts.</w:t>
      </w:r>
    </w:p>
    <w:p>
      <w:pPr>
        <w:pStyle w:val="Compact"/>
        <w:numPr>
          <w:ilvl w:val="0"/>
          <w:numId w:val="1002"/>
        </w:numPr>
      </w:pPr>
      <w:r>
        <w:t xml:space="preserve">Supports deterministic policy evaluation suitable for lab, on-premise, edge, and air-gapped evaluation.</w:t>
      </w:r>
    </w:p>
    <w:p>
      <w:pPr>
        <w:pStyle w:val="Compact"/>
        <w:numPr>
          <w:ilvl w:val="0"/>
          <w:numId w:val="1002"/>
        </w:numPr>
      </w:pPr>
      <w:r>
        <w:t xml:space="preserve">Allows red-team testing of unauthorized execution, policy bypass, and replay attempts.</w:t>
      </w:r>
    </w:p>
    <w:bookmarkEnd w:id="13"/>
    <w:bookmarkStart w:id="14" w:name="b.-product-advantages"/>
    <w:p>
      <w:pPr>
        <w:pStyle w:val="Heading2"/>
      </w:pPr>
      <w:r>
        <w:t xml:space="preserve">B. Product Advantages</w:t>
      </w:r>
    </w:p>
    <w:p>
      <w:pPr>
        <w:pStyle w:val="Compact"/>
        <w:numPr>
          <w:ilvl w:val="0"/>
          <w:numId w:val="1003"/>
        </w:numPr>
      </w:pPr>
      <w:r>
        <w:t xml:space="preserve">Provides a deployable runtime guard rather than a passive dashboard.</w:t>
      </w:r>
    </w:p>
    <w:p>
      <w:pPr>
        <w:pStyle w:val="Compact"/>
        <w:numPr>
          <w:ilvl w:val="0"/>
          <w:numId w:val="1003"/>
        </w:numPr>
      </w:pPr>
      <w:r>
        <w:t xml:space="preserve">Integrates with autonomous clients, tool routers, APIs, MCP-style servers, and robot command paths.</w:t>
      </w:r>
    </w:p>
    <w:p>
      <w:pPr>
        <w:pStyle w:val="Compact"/>
        <w:numPr>
          <w:ilvl w:val="0"/>
          <w:numId w:val="1003"/>
        </w:numPr>
      </w:pPr>
      <w:r>
        <w:t xml:space="preserve">Supports allow rules, deny rules, delegated authority scopes, nonce checks, restricted action classes, and mission-policy controls.</w:t>
      </w:r>
    </w:p>
    <w:p>
      <w:pPr>
        <w:pStyle w:val="Compact"/>
        <w:numPr>
          <w:ilvl w:val="0"/>
          <w:numId w:val="1003"/>
        </w:numPr>
      </w:pPr>
      <w:r>
        <w:t xml:space="preserve">Provides operational dashboards for live execution status, blocked actions, reason codes, consequence traces, and audit review.</w:t>
      </w:r>
    </w:p>
    <w:p>
      <w:pPr>
        <w:pStyle w:val="Compact"/>
        <w:numPr>
          <w:ilvl w:val="0"/>
          <w:numId w:val="1003"/>
        </w:numPr>
      </w:pPr>
      <w:r>
        <w:t xml:space="preserve">Offers API-first integration for existing autonomous workflows without requiring replacement of mission software.</w:t>
      </w:r>
    </w:p>
    <w:p>
      <w:pPr>
        <w:pStyle w:val="Compact"/>
        <w:numPr>
          <w:ilvl w:val="0"/>
          <w:numId w:val="1003"/>
        </w:numPr>
      </w:pPr>
      <w:r>
        <w:t xml:space="preserve">Produces structured evidence suitable for technical review, security evaluation, and controlled pilot validation.</w:t>
      </w:r>
    </w:p>
    <w:bookmarkEnd w:id="14"/>
    <w:bookmarkStart w:id="15" w:name="c.-commercial-advantages"/>
    <w:p>
      <w:pPr>
        <w:pStyle w:val="Heading2"/>
      </w:pPr>
      <w:r>
        <w:t xml:space="preserve">C. Commercial Advantages</w:t>
      </w:r>
    </w:p>
    <w:p>
      <w:pPr>
        <w:pStyle w:val="Compact"/>
        <w:numPr>
          <w:ilvl w:val="0"/>
          <w:numId w:val="1004"/>
        </w:numPr>
      </w:pPr>
      <w:r>
        <w:t xml:space="preserve">Addresses a growing need for governed execution infrastructure as autonomous systems receive operational authority.</w:t>
      </w:r>
    </w:p>
    <w:p>
      <w:pPr>
        <w:pStyle w:val="Compact"/>
        <w:numPr>
          <w:ilvl w:val="0"/>
          <w:numId w:val="1004"/>
        </w:numPr>
      </w:pPr>
      <w:r>
        <w:t xml:space="preserve">Applicable across defence autonomy, ISR workflows, cyber-physical systems, enterprise automation, industrial robotics, and secure infrastructure operations.</w:t>
      </w:r>
    </w:p>
    <w:p>
      <w:pPr>
        <w:pStyle w:val="Compact"/>
        <w:numPr>
          <w:ilvl w:val="0"/>
          <w:numId w:val="1004"/>
        </w:numPr>
      </w:pPr>
      <w:r>
        <w:t xml:space="preserve">Supports sovereign deployment models where foreign cloud dependency is undesirable.</w:t>
      </w:r>
    </w:p>
    <w:p>
      <w:pPr>
        <w:pStyle w:val="Compact"/>
        <w:numPr>
          <w:ilvl w:val="0"/>
          <w:numId w:val="1004"/>
        </w:numPr>
      </w:pPr>
      <w:r>
        <w:t xml:space="preserve">Can be offered as runtime gateway software, verification APIs, on-premise deployments, and compliance evidence infrastructure.</w:t>
      </w:r>
    </w:p>
    <w:p>
      <w:pPr>
        <w:pStyle w:val="Compact"/>
        <w:numPr>
          <w:ilvl w:val="0"/>
          <w:numId w:val="1004"/>
        </w:numPr>
      </w:pPr>
      <w:r>
        <w:t xml:space="preserve">Modular architecture allows phased adoption, beginning with audit mode and progressing to active enforcement.</w:t>
      </w:r>
    </w:p>
    <w:p>
      <w:pPr>
        <w:pStyle w:val="Compact"/>
        <w:numPr>
          <w:ilvl w:val="0"/>
          <w:numId w:val="1004"/>
        </w:numPr>
      </w:pPr>
      <w:r>
        <w:t xml:space="preserve">Creates reusable trust and execution-control infrastructure rather than single-use workflow automation.</w:t>
      </w:r>
    </w:p>
    <w:bookmarkEnd w:id="15"/>
    <w:bookmarkStart w:id="16" w:name="d.-capabilities-and-competencies"/>
    <w:p>
      <w:pPr>
        <w:pStyle w:val="Heading2"/>
      </w:pPr>
      <w:r>
        <w:t xml:space="preserve">D. Capabilities and Competencies</w:t>
      </w:r>
    </w:p>
    <w:p>
      <w:pPr>
        <w:pStyle w:val="Compact"/>
        <w:numPr>
          <w:ilvl w:val="0"/>
          <w:numId w:val="1005"/>
        </w:numPr>
      </w:pPr>
      <w:r>
        <w:t xml:space="preserve">Design and implementation of governed autonomous execution systems.</w:t>
      </w:r>
    </w:p>
    <w:p>
      <w:pPr>
        <w:pStyle w:val="Compact"/>
        <w:numPr>
          <w:ilvl w:val="0"/>
          <w:numId w:val="1005"/>
        </w:numPr>
      </w:pPr>
      <w:r>
        <w:t xml:space="preserve">Rust-based execution-control architecture for pre-execution authorization and denial.</w:t>
      </w:r>
    </w:p>
    <w:p>
      <w:pPr>
        <w:pStyle w:val="Compact"/>
        <w:numPr>
          <w:ilvl w:val="0"/>
          <w:numId w:val="1005"/>
        </w:numPr>
      </w:pPr>
      <w:r>
        <w:t xml:space="preserve">Policy-engine design for protected actions, restricted commands, consequence class, and mission context.</w:t>
      </w:r>
    </w:p>
    <w:p>
      <w:pPr>
        <w:pStyle w:val="Compact"/>
        <w:numPr>
          <w:ilvl w:val="0"/>
          <w:numId w:val="1005"/>
        </w:numPr>
      </w:pPr>
      <w:r>
        <w:t xml:space="preserve">ETK-style audit trail generation and tamper-evident evidence export.</w:t>
      </w:r>
    </w:p>
    <w:p>
      <w:pPr>
        <w:pStyle w:val="Compact"/>
        <w:numPr>
          <w:ilvl w:val="0"/>
          <w:numId w:val="1005"/>
        </w:numPr>
      </w:pPr>
      <w:r>
        <w:t xml:space="preserve">TELOS consequence-budget design for bounded autonomy and high-impact action rate control.</w:t>
      </w:r>
    </w:p>
    <w:p>
      <w:pPr>
        <w:pStyle w:val="Compact"/>
        <w:numPr>
          <w:ilvl w:val="0"/>
          <w:numId w:val="1005"/>
        </w:numPr>
      </w:pPr>
      <w:r>
        <w:t xml:space="preserve">Red-team test design for unauthorized execution, denial path, replay attempts, and policy bypass behavior.</w:t>
      </w:r>
    </w:p>
    <w:p>
      <w:pPr>
        <w:pStyle w:val="Compact"/>
        <w:numPr>
          <w:ilvl w:val="0"/>
          <w:numId w:val="1005"/>
        </w:numPr>
      </w:pPr>
      <w:r>
        <w:t xml:space="preserve">API-first backend and integration planning for agents, tools, MCP-style clients, robot commands, and mission services.</w:t>
      </w:r>
    </w:p>
    <w:p>
      <w:pPr>
        <w:pStyle w:val="Compact"/>
        <w:numPr>
          <w:ilvl w:val="0"/>
          <w:numId w:val="1005"/>
        </w:numPr>
      </w:pPr>
      <w:r>
        <w:t xml:space="preserve">Containerized and sovereign deployment planning for lab, on-premise, and air-gapped evaluation.</w:t>
      </w:r>
    </w:p>
    <w:p>
      <w:pPr>
        <w:pStyle w:val="Compact"/>
        <w:numPr>
          <w:ilvl w:val="0"/>
          <w:numId w:val="1005"/>
        </w:numPr>
      </w:pPr>
      <w:r>
        <w:t xml:space="preserve">Security-oriented engineering for unauthorized tool escalation, direct integration bypass, forged evidence, and replay attack mitigation.</w:t>
      </w:r>
    </w:p>
    <w:p>
      <w:pPr>
        <w:pStyle w:val="Compact"/>
        <w:numPr>
          <w:ilvl w:val="0"/>
          <w:numId w:val="1005"/>
        </w:numPr>
      </w:pPr>
      <w:r>
        <w:t xml:space="preserve">Defence-compatible documentation, deployment planning, field simulation design, and validation evidence preparation.</w:t>
      </w:r>
    </w:p>
    <w:p>
      <w:pPr>
        <w:pStyle w:val="Compact"/>
        <w:numPr>
          <w:ilvl w:val="0"/>
          <w:numId w:val="1005"/>
        </w:numPr>
      </w:pPr>
      <w:r>
        <w:t xml:space="preserve">Ability to create operational dashboards, evidence export workflows, runbooks, and technical handover material for evaluator review.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2026-05-17T06:23:08Z</dcterms:created>
  <dcterms:modified xsi:type="dcterms:W3CDTF">2026-05-17T06:23:08Z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