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5" w:name="annexure-outline"/>
    <w:p>
      <w:pPr>
        <w:pStyle w:val="Heading1"/>
      </w:pPr>
      <w:r>
        <w:t xml:space="preserve">Annexure Outline</w:t>
      </w:r>
    </w:p>
    <w:p>
      <w:pPr>
        <w:pStyle w:val="FirstParagraph"/>
      </w:pPr>
      <w:r>
        <w:t xml:space="preserve">Company identification and section outline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Start w:id="10" w:name="company-identification"/>
    <w:p>
      <w:pPr>
        <w:pStyle w:val="Heading2"/>
      </w:pPr>
      <w:r>
        <w:t xml:space="preserve">Company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0"/>
    <w:bookmarkStart w:id="11" w:name="annexure-1-outline"/>
    <w:p>
      <w:pPr>
        <w:pStyle w:val="Heading2"/>
      </w:pPr>
      <w:r>
        <w:t xml:space="preserve">Annexure-1 Outline</w:t>
      </w:r>
    </w:p>
    <w:p>
      <w:pPr>
        <w:pStyle w:val="FirstParagraph"/>
      </w:pPr>
      <w:r>
        <w:t xml:space="preserve">Purpose: applicant details and proposed solution summary for the iDEX Open Challenge.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1"/>
        </w:numPr>
      </w:pPr>
      <w:r>
        <w:t xml:space="preserve">Company and applicant details.</w:t>
      </w:r>
    </w:p>
    <w:p>
      <w:pPr>
        <w:pStyle w:val="Compact"/>
        <w:numPr>
          <w:ilvl w:val="0"/>
          <w:numId w:val="1001"/>
        </w:numPr>
      </w:pPr>
      <w:r>
        <w:t xml:space="preserve">Challenge title.</w:t>
      </w:r>
    </w:p>
    <w:p>
      <w:pPr>
        <w:pStyle w:val="Compact"/>
        <w:numPr>
          <w:ilvl w:val="0"/>
          <w:numId w:val="1001"/>
        </w:numPr>
      </w:pPr>
      <w:r>
        <w:t xml:space="preserve">Intended defence end-user profile.</w:t>
      </w:r>
    </w:p>
    <w:p>
      <w:pPr>
        <w:pStyle w:val="Compact"/>
        <w:numPr>
          <w:ilvl w:val="0"/>
          <w:numId w:val="1001"/>
        </w:numPr>
      </w:pPr>
      <w:r>
        <w:t xml:space="preserve">Brief solution summary under 250 words.</w:t>
      </w:r>
    </w:p>
    <w:p>
      <w:pPr>
        <w:pStyle w:val="Compact"/>
        <w:numPr>
          <w:ilvl w:val="0"/>
          <w:numId w:val="1001"/>
        </w:numPr>
      </w:pPr>
      <w:r>
        <w:t xml:space="preserve">Key technologies used.</w:t>
      </w:r>
    </w:p>
    <w:p>
      <w:pPr>
        <w:pStyle w:val="Compact"/>
        <w:numPr>
          <w:ilvl w:val="0"/>
          <w:numId w:val="1001"/>
        </w:numPr>
      </w:pPr>
      <w:r>
        <w:t xml:space="preserve">Deliverables table.</w:t>
      </w:r>
    </w:p>
    <w:p>
      <w:pPr>
        <w:pStyle w:val="Compact"/>
        <w:numPr>
          <w:ilvl w:val="0"/>
          <w:numId w:val="1001"/>
        </w:numPr>
      </w:pPr>
      <w:r>
        <w:t xml:space="preserve">Phase-wise 12-month timeline.</w:t>
      </w:r>
    </w:p>
    <w:bookmarkEnd w:id="11"/>
    <w:bookmarkStart w:id="12" w:name="annexure-2-outline"/>
    <w:p>
      <w:pPr>
        <w:pStyle w:val="Heading2"/>
      </w:pPr>
      <w:r>
        <w:t xml:space="preserve">Annexure-2 Outline</w:t>
      </w:r>
    </w:p>
    <w:p>
      <w:pPr>
        <w:pStyle w:val="FirstParagraph"/>
      </w:pPr>
      <w:r>
        <w:t xml:space="preserve">Purpose: technical architecture and implementation approach for AGP-OS Robotics Safety Layer.</w:t>
      </w:r>
    </w:p>
    <w:p>
      <w:pPr>
        <w:pStyle w:val="BodyText"/>
      </w:pPr>
      <w:r>
        <w:t xml:space="preserve">Contents:</w:t>
      </w:r>
    </w:p>
    <w:p>
      <w:pPr>
        <w:pStyle w:val="Compact"/>
        <w:numPr>
          <w:ilvl w:val="0"/>
          <w:numId w:val="1002"/>
        </w:numPr>
      </w:pPr>
      <w:r>
        <w:t xml:space="preserve">ROS2 command bridge.</w:t>
      </w:r>
    </w:p>
    <w:p>
      <w:pPr>
        <w:pStyle w:val="Compact"/>
        <w:numPr>
          <w:ilvl w:val="0"/>
          <w:numId w:val="1002"/>
        </w:numPr>
      </w:pPr>
      <w:r>
        <w:t xml:space="preserve">AGP governance admission path.</w:t>
      </w:r>
    </w:p>
    <w:p>
      <w:pPr>
        <w:pStyle w:val="Compact"/>
        <w:numPr>
          <w:ilvl w:val="0"/>
          <w:numId w:val="1002"/>
        </w:numPr>
      </w:pPr>
      <w:r>
        <w:t xml:space="preserve">RTOS priority scheduling.</w:t>
      </w:r>
    </w:p>
    <w:p>
      <w:pPr>
        <w:pStyle w:val="Compact"/>
        <w:numPr>
          <w:ilvl w:val="0"/>
          <w:numId w:val="1002"/>
        </w:numPr>
      </w:pPr>
      <w:r>
        <w:t xml:space="preserve">Resource-denial controller.</w:t>
      </w:r>
    </w:p>
    <w:p>
      <w:pPr>
        <w:pStyle w:val="Compact"/>
        <w:numPr>
          <w:ilvl w:val="0"/>
          <w:numId w:val="1002"/>
        </w:numPr>
      </w:pPr>
      <w:r>
        <w:t xml:space="preserve">HAL safety interlock.</w:t>
      </w:r>
    </w:p>
    <w:p>
      <w:pPr>
        <w:pStyle w:val="Compact"/>
        <w:numPr>
          <w:ilvl w:val="0"/>
          <w:numId w:val="1002"/>
        </w:numPr>
      </w:pPr>
      <w:r>
        <w:t xml:space="preserve">Production adapter and deployment artifacts.</w:t>
      </w:r>
    </w:p>
    <w:bookmarkEnd w:id="12"/>
    <w:bookmarkStart w:id="13" w:name="annexure-3-outline"/>
    <w:p>
      <w:pPr>
        <w:pStyle w:val="Heading2"/>
      </w:pPr>
      <w:r>
        <w:t xml:space="preserve">Annexure-3 Outline</w:t>
      </w:r>
    </w:p>
    <w:p>
      <w:pPr>
        <w:pStyle w:val="FirstParagraph"/>
      </w:pPr>
      <w:r>
        <w:t xml:space="preserve">Purpose: advantages, product value, commercial value, and competencies.</w:t>
      </w:r>
    </w:p>
    <w:bookmarkEnd w:id="13"/>
    <w:bookmarkStart w:id="14" w:name="annexure-4-outline"/>
    <w:p>
      <w:pPr>
        <w:pStyle w:val="Heading2"/>
      </w:pPr>
      <w:r>
        <w:t xml:space="preserve">Annexure-4 Outline</w:t>
      </w:r>
    </w:p>
    <w:p>
      <w:pPr>
        <w:pStyle w:val="FirstParagraph"/>
      </w:pPr>
      <w:r>
        <w:t xml:space="preserve">Purpose: supporting evidence, screenshots, test output, repository locations, artifact locations, and readiness caveats.</w:t>
      </w:r>
    </w:p>
    <w:bookmarkEnd w:id="14"/>
    <w:bookmarkEnd w:id="15"/>
    <w:bookmarkStart w:id="16" w:name="annexure-1"/>
    <w:p>
      <w:pPr>
        <w:pStyle w:val="Heading1"/>
      </w:pPr>
      <w:r>
        <w:t xml:space="preserve">Annexure-1</w:t>
      </w:r>
    </w:p>
    <w:p>
      <w:pPr>
        <w:pStyle w:val="FirstParagraph"/>
      </w:pPr>
      <w:r>
        <w:t xml:space="preserve">Application and proposed solution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6"/>
    <w:bookmarkStart w:id="27" w:name="X5586dfcd4683f2590afeea6a79b1f902d3bb710"/>
    <w:p>
      <w:pPr>
        <w:pStyle w:val="Heading1"/>
      </w:pPr>
      <w:r>
        <w:t xml:space="preserve">Applicant Details and Proposed Solution Summary</w:t>
      </w:r>
    </w:p>
    <w:bookmarkStart w:id="17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7"/>
    <w:bookmarkStart w:id="18" w:name="applicant-details"/>
    <w:p>
      <w:pPr>
        <w:pStyle w:val="Heading2"/>
      </w:pPr>
      <w:r>
        <w:t xml:space="preserve">1. Applicant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 Startup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/ Platform Name</w:t>
            </w:r>
          </w:p>
        </w:tc>
        <w:tc>
          <w:tcPr/>
          <w:p>
            <w:pPr>
              <w:pStyle w:val="Compact"/>
            </w:pPr>
            <w:r>
              <w:t xml:space="preserve">AGP-OS Robotics Safety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Intended Defence End User</w:t>
            </w:r>
          </w:p>
        </w:tc>
        <w:tc>
          <w:tcPr/>
          <w:p>
            <w:pPr>
              <w:pStyle w:val="Compact"/>
            </w:pPr>
            <w:r>
              <w:t xml:space="preserve">Indian Armed Forces, DRDO robotics and autonomy laboratories, unmanned ground and aerial systems teams, ROS2-based robotics integrators, defence PSUs, and system assurance evaluators.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Applicant Name</w:t>
            </w:r>
          </w:p>
        </w:tc>
        <w:tc>
          <w:tcPr/>
          <w:p>
            <w:pPr>
              <w:pStyle w:val="Compact"/>
            </w:pPr>
            <w:r>
              <w:t xml:space="preserve">K. Naga Sri Ganesh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Number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 Address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 / Incorporation Number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DPIIT, Certificate No.</w:t>
            </w:r>
          </w:p>
        </w:tc>
        <w:tc>
          <w:tcPr/>
          <w:p>
            <w:pPr>
              <w:pStyle w:val="Compact"/>
            </w:pPr>
            <w:r>
              <w:t xml:space="preserve">DIPP215355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Proposed Project Duration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8"/>
    <w:bookmarkStart w:id="19" w:name="final-challenge-title"/>
    <w:p>
      <w:pPr>
        <w:pStyle w:val="Heading2"/>
      </w:pPr>
      <w:r>
        <w:t xml:space="preserve">2. Final Challenge Title</w:t>
      </w:r>
    </w:p>
    <w:p>
      <w:pPr>
        <w:pStyle w:val="FirstParagraph"/>
      </w:pPr>
      <w:r>
        <w:t xml:space="preserve">AGP-OS Robotics Safety Layer: Governed ROS2 and RTOS Control for Defence Robots</w:t>
      </w:r>
    </w:p>
    <w:bookmarkEnd w:id="19"/>
    <w:bookmarkStart w:id="20" w:name="intended-defence-end-users"/>
    <w:p>
      <w:pPr>
        <w:pStyle w:val="Heading2"/>
      </w:pPr>
      <w:r>
        <w:t xml:space="preserve">3. Intended Defence End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End-User Group</w:t>
            </w:r>
          </w:p>
        </w:tc>
        <w:tc>
          <w:tcPr/>
          <w:p>
            <w:pPr>
              <w:pStyle w:val="Compact"/>
            </w:pPr>
            <w:r>
              <w:t xml:space="preserve">Operational Need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Unmanned ground, aerial, surface, and inspection robot units</w:t>
            </w:r>
          </w:p>
        </w:tc>
        <w:tc>
          <w:tcPr/>
          <w:p>
            <w:pPr>
              <w:pStyle w:val="Compact"/>
            </w:pPr>
            <w:r>
              <w:t xml:space="preserve">Govern command admission before movement, actuator, sensor, or mission-control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DRDO robotics and autonomy laboratories</w:t>
            </w:r>
          </w:p>
        </w:tc>
        <w:tc>
          <w:tcPr/>
          <w:p>
            <w:pPr>
              <w:pStyle w:val="Compact"/>
            </w:pPr>
            <w:r>
              <w:t xml:space="preserve">Evaluate ROS2 command governance, RTOS priority behavior, and HAL interlock logic in simulation.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system integrators</w:t>
            </w:r>
          </w:p>
        </w:tc>
        <w:tc>
          <w:tcPr/>
          <w:p>
            <w:pPr>
              <w:pStyle w:val="Compact"/>
            </w:pPr>
            <w:r>
              <w:t xml:space="preserve">Add a safety-governance layer without replacing the full robotics stack.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Command-and-control assurance teams</w:t>
            </w:r>
          </w:p>
        </w:tc>
        <w:tc>
          <w:tcPr/>
          <w:p>
            <w:pPr>
              <w:pStyle w:val="Compact"/>
            </w:pPr>
            <w:r>
              <w:t xml:space="preserve">Review denial reasons, resource state, and command audit traces.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Robotics cyber and AI safety evaluators</w:t>
            </w:r>
          </w:p>
        </w:tc>
        <w:tc>
          <w:tcPr/>
          <w:p>
            <w:pPr>
              <w:pStyle w:val="Compact"/>
            </w:pPr>
            <w:r>
              <w:t xml:space="preserve">Test resource abuse, unsafe velocity requests, watchdog timeout, and simulated actuator denial.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Defence PSUs and production teams</w:t>
            </w:r>
          </w:p>
        </w:tc>
        <w:tc>
          <w:tcPr/>
          <w:p>
            <w:pPr>
              <w:pStyle w:val="Compact"/>
            </w:pPr>
            <w:r>
              <w:t xml:space="preserve">Use deployment artifacts as a starting point for hardware-in-loop validation.</w:t>
            </w:r>
          </w:p>
        </w:tc>
      </w:tr>
    </w:tbl>
    <w:bookmarkEnd w:id="20"/>
    <w:bookmarkStart w:id="21" w:name="a.-brief-summary-of-proposed-solution"/>
    <w:p>
      <w:pPr>
        <w:pStyle w:val="Heading2"/>
      </w:pPr>
      <w:r>
        <w:t xml:space="preserve">4. A. Brief Summary of Proposed Solution</w:t>
      </w:r>
    </w:p>
    <w:p>
      <w:pPr>
        <w:pStyle w:val="FirstParagraph"/>
      </w:pPr>
      <w:r>
        <w:t xml:space="preserve">Defence robots increasingly combine ROS2 middleware, edge AI agents, and real-time control loops. Standard robot stacks can move commands from software to actuators, but they do not automatically prove whether a command was governed, prioritized correctly, kept inside resource limits, or blocked by a safety interlock when the action became unsafe.</w:t>
      </w:r>
    </w:p>
    <w:p>
      <w:pPr>
        <w:pStyle w:val="BodyText"/>
      </w:pPr>
      <w:r>
        <w:t xml:space="preserve">AGP-OS Robotics Safety Layer proposes a governed operating layer for ROS2-based defence robots. Robot commands are converted into governed requests, prioritized through an RTOS-style scheduler, checked against resource budgets, and then passed through a HAL safety interlock before simulated actuator execution. The layer records whether a command was allowed, capped, blocked, or denied, and why.</w:t>
      </w:r>
    </w:p>
    <w:p>
      <w:pPr>
        <w:pStyle w:val="BodyText"/>
      </w:pPr>
      <w:r>
        <w:t xml:space="preserve">The 12-month iDEX prototype will demonstrate a ROS2/Gazebo-style software simulation with governed robot command flow, RTOS priority scheduling, resource-limit denial, watchdog timeout, velocity capping, and HAL safety refusal. Current evidence supports software subsystem TRL 3-4. Physical robot, military-grade hardware, environmental, and hard real-time certification are proposed as validation work, not claimed as complete.</w:t>
      </w:r>
    </w:p>
    <w:bookmarkEnd w:id="21"/>
    <w:bookmarkStart w:id="22" w:name="critical-defence-problems-addressed"/>
    <w:p>
      <w:pPr>
        <w:pStyle w:val="Heading2"/>
      </w:pPr>
      <w:r>
        <w:t xml:space="preserve">5. Critical Defence Problems Addressed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Critical Problem</w:t>
            </w:r>
          </w:p>
        </w:tc>
        <w:tc>
          <w:tcPr/>
          <w:p>
            <w:pPr>
              <w:pStyle w:val="Compact"/>
            </w:pPr>
            <w:r>
              <w:t xml:space="preserve">Operational Relevance For Defence Users</w:t>
            </w:r>
          </w:p>
        </w:tc>
        <w:tc>
          <w:tcPr/>
          <w:p>
            <w:pPr>
              <w:pStyle w:val="Compact"/>
            </w:pPr>
            <w:r>
              <w:t xml:space="preserve">Proposed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robotic command admission</w:t>
            </w:r>
          </w:p>
        </w:tc>
        <w:tc>
          <w:tcPr/>
          <w:p>
            <w:pPr>
              <w:pStyle w:val="Compact"/>
            </w:pPr>
            <w:r>
              <w:t xml:space="preserve">AI or operator software may issue motion or actuator commands without the right safety checks.</w:t>
            </w:r>
          </w:p>
        </w:tc>
        <w:tc>
          <w:tcPr/>
          <w:p>
            <w:pPr>
              <w:pStyle w:val="Compact"/>
            </w:pPr>
            <w:r>
              <w:t xml:space="preserve">ROS2 bridge plus AGP command admission boundary.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Emergency-stop delay risk</w:t>
            </w:r>
          </w:p>
        </w:tc>
        <w:tc>
          <w:tcPr/>
          <w:p>
            <w:pPr>
              <w:pStyle w:val="Compact"/>
            </w:pPr>
            <w:r>
              <w:t xml:space="preserve">Normal autonomy logic must not delay motor safety paths.</w:t>
            </w:r>
          </w:p>
        </w:tc>
        <w:tc>
          <w:tcPr/>
          <w:p>
            <w:pPr>
              <w:pStyle w:val="Compact"/>
            </w:pPr>
            <w:r>
              <w:t xml:space="preserve">RTOS-style priority model where critical tasks run ahead of lower-priority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exhaustion</w:t>
            </w:r>
          </w:p>
        </w:tc>
        <w:tc>
          <w:tcPr/>
          <w:p>
            <w:pPr>
              <w:pStyle w:val="Compact"/>
            </w:pPr>
            <w:r>
              <w:t xml:space="preserve">AI agents can consume memory, tokens, CPU cycles, or I/O during a mission.</w:t>
            </w:r>
          </w:p>
        </w:tc>
        <w:tc>
          <w:tcPr/>
          <w:p>
            <w:pPr>
              <w:pStyle w:val="Compact"/>
            </w:pPr>
            <w:r>
              <w:t xml:space="preserve">Resource controller grants or denies requests against configured quotas.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actuator access</w:t>
            </w:r>
          </w:p>
        </w:tc>
        <w:tc>
          <w:tcPr/>
          <w:p>
            <w:pPr>
              <w:pStyle w:val="Compact"/>
            </w:pPr>
            <w:r>
              <w:t xml:space="preserve">A command may be misaligned or exceed safe velocity.</w:t>
            </w:r>
          </w:p>
        </w:tc>
        <w:tc>
          <w:tcPr/>
          <w:p>
            <w:pPr>
              <w:pStyle w:val="Compact"/>
            </w:pPr>
            <w:r>
              <w:t xml:space="preserve">HAL safety interlock and command capping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 heartbeat loss</w:t>
            </w:r>
          </w:p>
        </w:tc>
        <w:tc>
          <w:tcPr/>
          <w:p>
            <w:pPr>
              <w:pStyle w:val="Compact"/>
            </w:pPr>
            <w:r>
              <w:t xml:space="preserve">Hardware or link failure can require immediate stop behavior.</w:t>
            </w:r>
          </w:p>
        </w:tc>
        <w:tc>
          <w:tcPr/>
          <w:p>
            <w:pPr>
              <w:pStyle w:val="Compact"/>
            </w:pPr>
            <w:r>
              <w:t xml:space="preserve">Safety watchdog with timeout and emergency-stop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prototype portability</w:t>
            </w:r>
          </w:p>
        </w:tc>
        <w:tc>
          <w:tcPr/>
          <w:p>
            <w:pPr>
              <w:pStyle w:val="Compact"/>
            </w:pPr>
            <w:r>
              <w:t xml:space="preserve">Robotics code often remains lab-only.</w:t>
            </w:r>
          </w:p>
        </w:tc>
        <w:tc>
          <w:tcPr/>
          <w:p>
            <w:pPr>
              <w:pStyle w:val="Compact"/>
            </w:pPr>
            <w:r>
              <w:t xml:space="preserve">ROS2 deployment files, simulation fallback, and Rust</w:t>
            </w:r>
            <w:r>
              <w:t xml:space="preserve"> </w:t>
            </w:r>
            <w:r>
              <w:rPr>
                <w:rStyle w:val="VerbatimChar"/>
              </w:rPr>
              <w:t xml:space="preserve">no_std</w:t>
            </w:r>
            <w:r>
              <w:t xml:space="preserve"> </w:t>
            </w:r>
            <w:r>
              <w:t xml:space="preserve">RTOS core check.</w:t>
            </w:r>
          </w:p>
        </w:tc>
      </w:tr>
    </w:tbl>
    <w:bookmarkEnd w:id="22"/>
    <w:bookmarkStart w:id="23" w:name="b.-key-technologies-used"/>
    <w:p>
      <w:pPr>
        <w:pStyle w:val="Heading2"/>
      </w:pPr>
      <w:r>
        <w:t xml:space="preserve">6. B. Key Technologies Used</w:t>
      </w:r>
    </w:p>
    <w:p>
      <w:pPr>
        <w:pStyle w:val="Compact"/>
        <w:numPr>
          <w:ilvl w:val="0"/>
          <w:numId w:val="1003"/>
        </w:numPr>
      </w:pPr>
      <w:r>
        <w:t xml:space="preserve">AGP governed command admission</w:t>
      </w:r>
    </w:p>
    <w:p>
      <w:pPr>
        <w:pStyle w:val="Compact"/>
        <w:numPr>
          <w:ilvl w:val="0"/>
          <w:numId w:val="1003"/>
        </w:numPr>
      </w:pPr>
      <w:r>
        <w:t xml:space="preserve">ROS2 bridge and simulation mode</w:t>
      </w:r>
    </w:p>
    <w:p>
      <w:pPr>
        <w:pStyle w:val="Compact"/>
        <w:numPr>
          <w:ilvl w:val="0"/>
          <w:numId w:val="1003"/>
        </w:numPr>
      </w:pPr>
      <w:r>
        <w:t xml:space="preserve">RTOS-style priority scheduler</w:t>
      </w:r>
    </w:p>
    <w:p>
      <w:pPr>
        <w:pStyle w:val="Compact"/>
        <w:numPr>
          <w:ilvl w:val="0"/>
          <w:numId w:val="1003"/>
        </w:numPr>
      </w:pPr>
      <w:r>
        <w:t xml:space="preserve">HAL safety interlocks</w:t>
      </w:r>
    </w:p>
    <w:p>
      <w:pPr>
        <w:pStyle w:val="Compact"/>
        <w:numPr>
          <w:ilvl w:val="0"/>
          <w:numId w:val="1003"/>
        </w:numPr>
      </w:pPr>
      <w:r>
        <w:t xml:space="preserve">Resource quota controller</w:t>
      </w:r>
    </w:p>
    <w:p>
      <w:pPr>
        <w:pStyle w:val="Compact"/>
        <w:numPr>
          <w:ilvl w:val="0"/>
          <w:numId w:val="1003"/>
        </w:numPr>
      </w:pPr>
      <w:r>
        <w:t xml:space="preserve">Rust</w:t>
      </w:r>
      <w:r>
        <w:t xml:space="preserve"> </w:t>
      </w:r>
      <w:r>
        <w:rPr>
          <w:rStyle w:val="VerbatimChar"/>
        </w:rPr>
        <w:t xml:space="preserve">no_std</w:t>
      </w:r>
      <w:r>
        <w:t xml:space="preserve"> </w:t>
      </w:r>
      <w:r>
        <w:t xml:space="preserve">RTOS core</w:t>
      </w:r>
    </w:p>
    <w:bookmarkEnd w:id="23"/>
    <w:bookmarkStart w:id="24" w:name="c.-deliverables"/>
    <w:p>
      <w:pPr>
        <w:pStyle w:val="Heading2"/>
      </w:pPr>
      <w:r>
        <w:t xml:space="preserve">7. C.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Defence-Oriented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 Governance Bridge</w:t>
            </w:r>
          </w:p>
        </w:tc>
        <w:tc>
          <w:tcPr/>
          <w:p>
            <w:pPr>
              <w:pStyle w:val="Compact"/>
            </w:pPr>
            <w:r>
              <w:t xml:space="preserve">Converts robot topics, services, and command messages into governed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 Priority Demo</w:t>
            </w:r>
          </w:p>
        </w:tc>
        <w:tc>
          <w:tcPr/>
          <w:p>
            <w:pPr>
              <w:pStyle w:val="Compact"/>
            </w:pPr>
            <w:r>
              <w:t xml:space="preserve">Demonstrates critical safety tasks executing ahead of normal governance and background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Controller</w:t>
            </w:r>
          </w:p>
        </w:tc>
        <w:tc>
          <w:tcPr/>
          <w:p>
            <w:pPr>
              <w:pStyle w:val="Compact"/>
            </w:pPr>
            <w:r>
              <w:t xml:space="preserve">Grants or denies memory, token, CPU, and I/O requests against configured mission budgets.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 Safety Interlock</w:t>
            </w:r>
          </w:p>
        </w:tc>
        <w:tc>
          <w:tcPr/>
          <w:p>
            <w:pPr>
              <w:pStyle w:val="Compact"/>
            </w:pPr>
            <w:r>
              <w:t xml:space="preserve">Blocks unsafe simulated actuator commands and caps velocity requests.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ROS2 Adapter</w:t>
            </w:r>
          </w:p>
        </w:tc>
        <w:tc>
          <w:tcPr/>
          <w:p>
            <w:pPr>
              <w:pStyle w:val="Compact"/>
            </w:pPr>
            <w:r>
              <w:t xml:space="preserve">Demonstrates watchdog, heartbeat timeout, emergency stop, and simulation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RTOS Core</w:t>
            </w:r>
          </w:p>
        </w:tc>
        <w:tc>
          <w:tcPr/>
          <w:p>
            <w:pPr>
              <w:pStyle w:val="Compact"/>
            </w:pPr>
            <w:r>
              <w:t xml:space="preserve">Provides</w:t>
            </w:r>
            <w:r>
              <w:t xml:space="preserve"> </w:t>
            </w:r>
            <w:r>
              <w:rPr>
                <w:rStyle w:val="VerbatimChar"/>
              </w:rPr>
              <w:t xml:space="preserve">no_std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unsafe</w:t>
            </w:r>
            <w:r>
              <w:t xml:space="preserve">-denied fixed-capacity scheduling primitives for future board 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Dashboard Prototype</w:t>
            </w:r>
          </w:p>
        </w:tc>
        <w:tc>
          <w:tcPr/>
          <w:p>
            <w:pPr>
              <w:pStyle w:val="Compact"/>
            </w:pPr>
            <w:r>
              <w:t xml:space="preserve">Shows command state, denial reason, priority order, resource state, and safety event trace.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Report</w:t>
            </w:r>
          </w:p>
        </w:tc>
        <w:tc>
          <w:tcPr/>
          <w:p>
            <w:pPr>
              <w:pStyle w:val="Compact"/>
            </w:pPr>
            <w:r>
              <w:t xml:space="preserve">Provides test output, scenario results, limitations, and hardware-in-loop plan.</w:t>
            </w:r>
          </w:p>
        </w:tc>
      </w:tr>
    </w:tbl>
    <w:bookmarkEnd w:id="24"/>
    <w:bookmarkStart w:id="25" w:name="d.-proposed-timeline"/>
    <w:p>
      <w:pPr>
        <w:pStyle w:val="Heading2"/>
      </w:pPr>
      <w:r>
        <w:t xml:space="preserve">8. D. Proposed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Month 1 to Month 2</w:t>
            </w:r>
          </w:p>
        </w:tc>
        <w:tc>
          <w:tcPr/>
          <w:p>
            <w:pPr>
              <w:pStyle w:val="Compact"/>
            </w:pPr>
            <w:r>
              <w:t xml:space="preserve">Robotics safety profile and command schema</w:t>
            </w:r>
          </w:p>
        </w:tc>
        <w:tc>
          <w:tcPr/>
          <w:p>
            <w:pPr>
              <w:pStyle w:val="Compact"/>
            </w:pPr>
            <w:r>
              <w:t xml:space="preserve">ROS2 command taxonomy, safety policy, and integration boundary.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Month 3 to Month 4</w:t>
            </w:r>
          </w:p>
        </w:tc>
        <w:tc>
          <w:tcPr/>
          <w:p>
            <w:pPr>
              <w:pStyle w:val="Compact"/>
            </w:pPr>
            <w:r>
              <w:t xml:space="preserve">ROS2 governance bridge</w:t>
            </w:r>
          </w:p>
        </w:tc>
        <w:tc>
          <w:tcPr/>
          <w:p>
            <w:pPr>
              <w:pStyle w:val="Compact"/>
            </w:pPr>
            <w:r>
              <w:t xml:space="preserve">Governed command admission for motion, sensor, and actuator 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Month 5 to Month 6</w:t>
            </w:r>
          </w:p>
        </w:tc>
        <w:tc>
          <w:tcPr/>
          <w:p>
            <w:pPr>
              <w:pStyle w:val="Compact"/>
            </w:pPr>
            <w:r>
              <w:t xml:space="preserve">RTOS scheduling model</w:t>
            </w:r>
          </w:p>
        </w:tc>
        <w:tc>
          <w:tcPr/>
          <w:p>
            <w:pPr>
              <w:pStyle w:val="Compact"/>
            </w:pPr>
            <w:r>
              <w:t xml:space="preserve">Critical, high, normal, low, and idle priority demo with deadline tracking.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Month 7 to Month 8</w:t>
            </w:r>
          </w:p>
        </w:tc>
        <w:tc>
          <w:tcPr/>
          <w:p>
            <w:pPr>
              <w:pStyle w:val="Compact"/>
            </w:pPr>
            <w:r>
              <w:t xml:space="preserve">Resource denial and degradation</w:t>
            </w:r>
          </w:p>
        </w:tc>
        <w:tc>
          <w:tcPr/>
          <w:p>
            <w:pPr>
              <w:pStyle w:val="Compact"/>
            </w:pPr>
            <w:r>
              <w:t xml:space="preserve">Memory, token, CPU, and I/O quota policies with denial trace.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Month 9</w:t>
            </w:r>
          </w:p>
        </w:tc>
        <w:tc>
          <w:tcPr/>
          <w:p>
            <w:pPr>
              <w:pStyle w:val="Compact"/>
            </w:pPr>
            <w:r>
              <w:t xml:space="preserve">HAL interlock and watchdog</w:t>
            </w:r>
          </w:p>
        </w:tc>
        <w:tc>
          <w:tcPr/>
          <w:p>
            <w:pPr>
              <w:pStyle w:val="Compact"/>
            </w:pPr>
            <w:r>
              <w:t xml:space="preserve">Velocity cap, low-alignment block, heartbeat timeout, and emergency-stop event.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Month 10</w:t>
            </w:r>
          </w:p>
        </w:tc>
        <w:tc>
          <w:tcPr/>
          <w:p>
            <w:pPr>
              <w:pStyle w:val="Compact"/>
            </w:pPr>
            <w:r>
              <w:t xml:space="preserve">Simulation and adversarial scenarios</w:t>
            </w:r>
          </w:p>
        </w:tc>
        <w:tc>
          <w:tcPr/>
          <w:p>
            <w:pPr>
              <w:pStyle w:val="Compact"/>
            </w:pPr>
            <w:r>
              <w:t xml:space="preserve">Unsafe command, resource abuse, timeout, and priority inversion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Month 11</w:t>
            </w:r>
          </w:p>
        </w:tc>
        <w:tc>
          <w:tcPr/>
          <w:p>
            <w:pPr>
              <w:pStyle w:val="Compact"/>
            </w:pPr>
            <w:r>
              <w:t xml:space="preserve">Deployment packaging</w:t>
            </w:r>
          </w:p>
        </w:tc>
        <w:tc>
          <w:tcPr/>
          <w:p>
            <w:pPr>
              <w:pStyle w:val="Compact"/>
            </w:pPr>
            <w:r>
              <w:t xml:space="preserve">Docker, systemd, runbook, and board-porting interface notes.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Month 12</w:t>
            </w:r>
          </w:p>
        </w:tc>
        <w:tc>
          <w:tcPr/>
          <w:p>
            <w:pPr>
              <w:pStyle w:val="Compact"/>
            </w:pPr>
            <w:r>
              <w:t xml:space="preserve">Final demonstration</w:t>
            </w:r>
          </w:p>
        </w:tc>
        <w:tc>
          <w:tcPr/>
          <w:p>
            <w:pPr>
              <w:pStyle w:val="Compact"/>
            </w:pPr>
            <w:r>
              <w:t xml:space="preserve">iDEX demo package, test report, and hardware-in-loop plan.</w:t>
            </w:r>
          </w:p>
        </w:tc>
      </w:tr>
    </w:tbl>
    <w:bookmarkEnd w:id="25"/>
    <w:bookmarkStart w:id="26" w:name="e.-readiness-position"/>
    <w:p>
      <w:pPr>
        <w:pStyle w:val="Heading2"/>
      </w:pPr>
      <w:r>
        <w:t xml:space="preserve">9. E. Readiness Position</w:t>
      </w:r>
    </w:p>
    <w:p>
      <w:pPr>
        <w:pStyle w:val="FirstParagraph"/>
      </w:pPr>
      <w:r>
        <w:t xml:space="preserve">Fresh evidence includes RTOS scheduler 8/8, ROS2 bridge 16/16, resource controller 12/12, production adapter 22/22, Rust RTOS core 4/4, and</w:t>
      </w:r>
      <w:r>
        <w:t xml:space="preserve"> </w:t>
      </w:r>
      <w:r>
        <w:rPr>
          <w:rStyle w:val="VerbatimChar"/>
        </w:rPr>
        <w:t xml:space="preserve">wasm32-unknown-unknown</w:t>
      </w:r>
      <w:r>
        <w:t xml:space="preserve"> </w:t>
      </w:r>
      <w:r>
        <w:t xml:space="preserve">check passed.</w:t>
      </w:r>
    </w:p>
    <w:p>
      <w:pPr>
        <w:pStyle w:val="BodyText"/>
      </w:pPr>
      <w:r>
        <w:t xml:space="preserve">Submission boundary: software plus simulation evidence only. Physical robot validation, target-board timing, environmental testing, service-specific policies, and operational certification remain proposed iDEX work packages.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2026-05-17T07:35:27Z</dcterms:created>
  <dcterms:modified xsi:type="dcterms:W3CDTF">2026-05-17T07:35:27Z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