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dex-open-challenge-submission"/>
    <w:p>
      <w:pPr>
        <w:pStyle w:val="Heading1"/>
      </w:pPr>
      <w:r>
        <w:t xml:space="preserve">IDEX OPEN CHALLENGE SUBMISSION</w:t>
      </w:r>
    </w:p>
    <w:bookmarkEnd w:id="9"/>
    <w:bookmarkStart w:id="10" w:name="annexure-3"/>
    <w:p>
      <w:pPr>
        <w:pStyle w:val="Heading1"/>
      </w:pPr>
      <w:r>
        <w:t xml:space="preserve">Annexure-3</w:t>
      </w:r>
    </w:p>
    <w:p>
      <w:pPr>
        <w:pStyle w:val="FirstParagraph"/>
      </w:pPr>
      <w:r>
        <w:t xml:space="preserve">Advantages, competencies, and benefits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End w:id="10"/>
    <w:bookmarkStart w:id="17" w:name="advantages-and-competencies"/>
    <w:p>
      <w:pPr>
        <w:pStyle w:val="Heading1"/>
      </w:pPr>
      <w:r>
        <w:t xml:space="preserve">Advantages and Competencies</w:t>
      </w:r>
    </w:p>
    <w:bookmarkStart w:id="11" w:name="defence-benefits"/>
    <w:p>
      <w:pPr>
        <w:pStyle w:val="Heading2"/>
      </w:pPr>
      <w:r>
        <w:t xml:space="preserve">1. Defence Benefits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Benefit</w:t>
            </w:r>
          </w:p>
        </w:tc>
        <w:tc>
          <w:tcPr/>
          <w:p>
            <w:pPr>
              <w:pStyle w:val="Compact"/>
            </w:pPr>
            <w:r>
              <w:t xml:space="preserve">Defence Value</w:t>
            </w:r>
          </w:p>
        </w:tc>
      </w:tr>
      <w:tr>
        <w:tc>
          <w:tcPr/>
          <w:p>
            <w:pPr>
              <w:pStyle w:val="Compact"/>
            </w:pPr>
            <w:r>
              <w:t xml:space="preserve">Governed command boundary</w:t>
            </w:r>
          </w:p>
        </w:tc>
        <w:tc>
          <w:tcPr/>
          <w:p>
            <w:pPr>
              <w:pStyle w:val="Compact"/>
            </w:pPr>
            <w:r>
              <w:t xml:space="preserve">Adds a reviewable admission layer before robot movement or simulated actuator access.</w:t>
            </w:r>
          </w:p>
        </w:tc>
      </w:tr>
      <w:tr>
        <w:tc>
          <w:tcPr/>
          <w:p>
            <w:pPr>
              <w:pStyle w:val="Compact"/>
            </w:pPr>
            <w:r>
              <w:t xml:space="preserve">Critical-priority scheduling</w:t>
            </w:r>
          </w:p>
        </w:tc>
        <w:tc>
          <w:tcPr/>
          <w:p>
            <w:pPr>
              <w:pStyle w:val="Compact"/>
            </w:pPr>
            <w:r>
              <w:t xml:space="preserve">Demonstrates emergency and motor safety tasks ahead of normal autonomy work.</w:t>
            </w:r>
          </w:p>
        </w:tc>
      </w:tr>
      <w:tr>
        <w:tc>
          <w:tcPr/>
          <w:p>
            <w:pPr>
              <w:pStyle w:val="Compact"/>
            </w:pPr>
            <w:r>
              <w:t xml:space="preserve">Resource denial</w:t>
            </w:r>
          </w:p>
        </w:tc>
        <w:tc>
          <w:tcPr/>
          <w:p>
            <w:pPr>
              <w:pStyle w:val="Compact"/>
            </w:pPr>
            <w:r>
              <w:t xml:space="preserve">Prevents one agent or software component from consuming mission-critical resources unchecked.</w:t>
            </w:r>
          </w:p>
        </w:tc>
      </w:tr>
      <w:tr>
        <w:tc>
          <w:tcPr/>
          <w:p>
            <w:pPr>
              <w:pStyle w:val="Compact"/>
            </w:pPr>
            <w:r>
              <w:t xml:space="preserve">HAL interlock</w:t>
            </w:r>
          </w:p>
        </w:tc>
        <w:tc>
          <w:tcPr/>
          <w:p>
            <w:pPr>
              <w:pStyle w:val="Compact"/>
            </w:pPr>
            <w:r>
              <w:t xml:space="preserve">Provides a concrete place where unsafe actuator commands can be blocked or capped.</w:t>
            </w:r>
          </w:p>
        </w:tc>
      </w:tr>
      <w:tr>
        <w:tc>
          <w:tcPr/>
          <w:p>
            <w:pPr>
              <w:pStyle w:val="Compact"/>
            </w:pPr>
            <w:r>
              <w:t xml:space="preserve">Watchdog and emergency stop</w:t>
            </w:r>
          </w:p>
        </w:tc>
        <w:tc>
          <w:tcPr/>
          <w:p>
            <w:pPr>
              <w:pStyle w:val="Compact"/>
            </w:pPr>
            <w:r>
              <w:t xml:space="preserve">Demonstrates timeout-triggered stop state and velocity safety checks.</w:t>
            </w:r>
          </w:p>
        </w:tc>
      </w:tr>
      <w:tr>
        <w:tc>
          <w:tcPr/>
          <w:p>
            <w:pPr>
              <w:pStyle w:val="Compact"/>
            </w:pPr>
            <w:r>
              <w:t xml:space="preserve">ROS2 compatibility path</w:t>
            </w:r>
          </w:p>
        </w:tc>
        <w:tc>
          <w:tcPr/>
          <w:p>
            <w:pPr>
              <w:pStyle w:val="Compact"/>
            </w:pPr>
            <w:r>
              <w:t xml:space="preserve">Supports adoption by teams already using ROS2-style robot stacks.</w:t>
            </w:r>
          </w:p>
        </w:tc>
      </w:tr>
      <w:tr>
        <w:tc>
          <w:tcPr/>
          <w:p>
            <w:pPr>
              <w:pStyle w:val="Compact"/>
            </w:pPr>
            <w:r>
              <w:t xml:space="preserve">Embedded path</w:t>
            </w:r>
          </w:p>
        </w:tc>
        <w:tc>
          <w:tcPr/>
          <w:p>
            <w:pPr>
              <w:pStyle w:val="Compact"/>
            </w:pPr>
            <w:r>
              <w:t xml:space="preserve">Rust</w:t>
            </w:r>
            <w:r>
              <w:t xml:space="preserve"> </w:t>
            </w:r>
            <w:r>
              <w:rPr>
                <w:rStyle w:val="VerbatimChar"/>
              </w:rPr>
              <w:t xml:space="preserve">no_std</w:t>
            </w:r>
            <w:r>
              <w:t xml:space="preserve"> </w:t>
            </w:r>
            <w:r>
              <w:t xml:space="preserve">RTOS core gives a future board-porting direction.</w:t>
            </w:r>
          </w:p>
        </w:tc>
      </w:tr>
    </w:tbl>
    <w:bookmarkEnd w:id="11"/>
    <w:bookmarkStart w:id="12" w:name="technical-advantages"/>
    <w:p>
      <w:pPr>
        <w:pStyle w:val="Heading2"/>
      </w:pPr>
      <w:r>
        <w:t xml:space="preserve">2. Technical Advantages</w:t>
      </w:r>
    </w:p>
    <w:p>
      <w:pPr>
        <w:pStyle w:val="FirstParagraph"/>
      </w:pPr>
      <w:r>
        <w:t xml:space="preserve">AGP-OS Robotics Safety Layer is strongest because it focuses on the layer between autonomy software and robot execution. It does not depend on the AI model being perfect. It treats robotic autonomy as a controlled operating problem: command admission, scheduling, quotas, interlocks, watchdogs, and audit records.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Technical Advantage</w:t>
            </w:r>
          </w:p>
        </w:tc>
        <w:tc>
          <w:tcPr/>
          <w:p>
            <w:pPr>
              <w:pStyle w:val="Compact"/>
            </w:pPr>
            <w:r>
              <w:t xml:space="preserve">Evidence</w:t>
            </w:r>
          </w:p>
        </w:tc>
      </w:tr>
      <w:tr>
        <w:tc>
          <w:tcPr/>
          <w:p>
            <w:pPr>
              <w:pStyle w:val="Compact"/>
            </w:pPr>
            <w:r>
              <w:t xml:space="preserve">Real source modules exist</w:t>
            </w:r>
          </w:p>
        </w:tc>
        <w:tc>
          <w:tcPr/>
          <w:p>
            <w:pPr>
              <w:pStyle w:val="Compact"/>
            </w:pPr>
            <w:r>
              <w:rPr>
                <w:rStyle w:val="VerbatimChar"/>
              </w:rPr>
              <w:t xml:space="preserve">agp-core/src/os/rtos/</w:t>
            </w:r>
            <w:r>
              <w:t xml:space="preserve">,</w:t>
            </w:r>
            <w:r>
              <w:t xml:space="preserve"> </w:t>
            </w:r>
            <w:r>
              <w:rPr>
                <w:rStyle w:val="VerbatimChar"/>
              </w:rPr>
              <w:t xml:space="preserve">agp-core/src/os/ros2/</w:t>
            </w:r>
            <w:r>
              <w:t xml:space="preserve">,</w:t>
            </w:r>
            <w:r>
              <w:t xml:space="preserve"> </w:t>
            </w:r>
            <w:r>
              <w:rPr>
                <w:rStyle w:val="VerbatimChar"/>
              </w:rPr>
              <w:t xml:space="preserve">agp-core/src/os/resources/</w:t>
            </w:r>
            <w:r>
              <w:t xml:space="preserve">,</w:t>
            </w:r>
            <w:r>
              <w:t xml:space="preserve"> </w:t>
            </w:r>
            <w:r>
              <w:rPr>
                <w:rStyle w:val="VerbatimChar"/>
              </w:rPr>
              <w:t xml:space="preserve">agp-core/src/os/hal/</w:t>
            </w:r>
            <w:r>
              <w:t xml:space="preserve">.</w:t>
            </w:r>
          </w:p>
        </w:tc>
      </w:tr>
      <w:tr>
        <w:tc>
          <w:tcPr/>
          <w:p>
            <w:pPr>
              <w:pStyle w:val="Compact"/>
            </w:pPr>
            <w:r>
              <w:t xml:space="preserve">Tests were executed before packaging</w:t>
            </w:r>
          </w:p>
        </w:tc>
        <w:tc>
          <w:tcPr/>
          <w:p>
            <w:pPr>
              <w:pStyle w:val="Compact"/>
            </w:pPr>
            <w:r>
              <w:t xml:space="preserve">58 Python checks and 4 Rust RTOS tests passed locally.</w:t>
            </w:r>
          </w:p>
        </w:tc>
      </w:tr>
      <w:tr>
        <w:tc>
          <w:tcPr/>
          <w:p>
            <w:pPr>
              <w:pStyle w:val="Compact"/>
            </w:pPr>
            <w:r>
              <w:t xml:space="preserve">Simulation-first path is honest</w:t>
            </w:r>
          </w:p>
        </w:tc>
        <w:tc>
          <w:tcPr/>
          <w:p>
            <w:pPr>
              <w:pStyle w:val="Compact"/>
            </w:pPr>
            <w:r>
              <w:t xml:space="preserve">Proposal avoids field qualification claims before hardware validation.</w:t>
            </w:r>
          </w:p>
        </w:tc>
      </w:tr>
      <w:tr>
        <w:tc>
          <w:tcPr/>
          <w:p>
            <w:pPr>
              <w:pStyle w:val="Compact"/>
            </w:pPr>
            <w:r>
              <w:t xml:space="preserve">Portable core direction exists</w:t>
            </w:r>
          </w:p>
        </w:tc>
        <w:tc>
          <w:tcPr/>
          <w:p>
            <w:pPr>
              <w:pStyle w:val="Compact"/>
            </w:pPr>
            <w:r>
              <w:rPr>
                <w:rStyle w:val="VerbatimChar"/>
              </w:rPr>
              <w:t xml:space="preserve">nexus-rtos-core</w:t>
            </w:r>
            <w:r>
              <w:t xml:space="preserve"> </w:t>
            </w:r>
            <w:r>
              <w:t xml:space="preserve">is</w:t>
            </w:r>
            <w:r>
              <w:t xml:space="preserve"> </w:t>
            </w:r>
            <w:r>
              <w:rPr>
                <w:rStyle w:val="VerbatimChar"/>
              </w:rPr>
              <w:t xml:space="preserve">no_std</w:t>
            </w:r>
            <w:r>
              <w:t xml:space="preserve"> </w:t>
            </w:r>
            <w:r>
              <w:t xml:space="preserve">and denies unsafe Rust.</w:t>
            </w:r>
          </w:p>
        </w:tc>
      </w:tr>
      <w:tr>
        <w:tc>
          <w:tcPr/>
          <w:p>
            <w:pPr>
              <w:pStyle w:val="Compact"/>
            </w:pPr>
            <w:r>
              <w:t xml:space="preserve">Deployment packaging exists</w:t>
            </w:r>
          </w:p>
        </w:tc>
        <w:tc>
          <w:tcPr/>
          <w:p>
            <w:pPr>
              <w:pStyle w:val="Compact"/>
            </w:pPr>
            <w:r>
              <w:t xml:space="preserve">ROS2 Dockerfile, entrypoint, and systemd service are present.</w:t>
            </w:r>
          </w:p>
        </w:tc>
      </w:tr>
    </w:tbl>
    <w:bookmarkEnd w:id="12"/>
    <w:bookmarkStart w:id="13" w:name="product-and-commercial-potential"/>
    <w:p>
      <w:pPr>
        <w:pStyle w:val="Heading2"/>
      </w:pPr>
      <w:r>
        <w:t xml:space="preserve">3. Product and Commercial Potential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Market Segment</w:t>
            </w:r>
          </w:p>
        </w:tc>
        <w:tc>
          <w:tcPr/>
          <w:p>
            <w:pPr>
              <w:pStyle w:val="Compact"/>
            </w:pPr>
            <w:r>
              <w:t xml:space="preserve">Potential Productization Path</w:t>
            </w:r>
          </w:p>
        </w:tc>
      </w:tr>
      <w:tr>
        <w:tc>
          <w:tcPr/>
          <w:p>
            <w:pPr>
              <w:pStyle w:val="Compact"/>
            </w:pPr>
            <w:r>
              <w:t xml:space="preserve">Defence robotics labs</w:t>
            </w:r>
          </w:p>
        </w:tc>
        <w:tc>
          <w:tcPr/>
          <w:p>
            <w:pPr>
              <w:pStyle w:val="Compact"/>
            </w:pPr>
            <w:r>
              <w:t xml:space="preserve">Simulation package for evaluating governed robot command flow.</w:t>
            </w:r>
          </w:p>
        </w:tc>
      </w:tr>
      <w:tr>
        <w:tc>
          <w:tcPr/>
          <w:p>
            <w:pPr>
              <w:pStyle w:val="Compact"/>
            </w:pPr>
            <w:r>
              <w:t xml:space="preserve">UGV and UAV integrators</w:t>
            </w:r>
          </w:p>
        </w:tc>
        <w:tc>
          <w:tcPr/>
          <w:p>
            <w:pPr>
              <w:pStyle w:val="Compact"/>
            </w:pPr>
            <w:r>
              <w:t xml:space="preserve">ROS2 safety-governance adapter for existing autonomy stacks.</w:t>
            </w:r>
          </w:p>
        </w:tc>
      </w:tr>
      <w:tr>
        <w:tc>
          <w:tcPr/>
          <w:p>
            <w:pPr>
              <w:pStyle w:val="Compact"/>
            </w:pPr>
            <w:r>
              <w:t xml:space="preserve">Defence PSUs</w:t>
            </w:r>
          </w:p>
        </w:tc>
        <w:tc>
          <w:tcPr/>
          <w:p>
            <w:pPr>
              <w:pStyle w:val="Compact"/>
            </w:pPr>
            <w:r>
              <w:t xml:space="preserve">Prototype operating-layer module for hardware-in-loop validation.</w:t>
            </w:r>
          </w:p>
        </w:tc>
      </w:tr>
      <w:tr>
        <w:tc>
          <w:tcPr/>
          <w:p>
            <w:pPr>
              <w:pStyle w:val="Compact"/>
            </w:pPr>
            <w:r>
              <w:t xml:space="preserve">Critical infrastructure robotics</w:t>
            </w:r>
          </w:p>
        </w:tc>
        <w:tc>
          <w:tcPr/>
          <w:p>
            <w:pPr>
              <w:pStyle w:val="Compact"/>
            </w:pPr>
            <w:r>
              <w:t xml:space="preserve">Dual-use inspection robots needing command audit and safety bounds.</w:t>
            </w:r>
          </w:p>
        </w:tc>
      </w:tr>
      <w:tr>
        <w:tc>
          <w:tcPr/>
          <w:p>
            <w:pPr>
              <w:pStyle w:val="Compact"/>
            </w:pPr>
            <w:r>
              <w:t xml:space="preserve">Industrial autonomy</w:t>
            </w:r>
          </w:p>
        </w:tc>
        <w:tc>
          <w:tcPr/>
          <w:p>
            <w:pPr>
              <w:pStyle w:val="Compact"/>
            </w:pPr>
            <w:r>
              <w:t xml:space="preserve">Resource control and watchdog layer for semi-autonomous mobile robots.</w:t>
            </w:r>
          </w:p>
        </w:tc>
      </w:tr>
    </w:tbl>
    <w:bookmarkEnd w:id="13"/>
    <w:bookmarkStart w:id="14" w:name="team-competencies"/>
    <w:p>
      <w:pPr>
        <w:pStyle w:val="Heading2"/>
      </w:pPr>
      <w:r>
        <w:t xml:space="preserve">4. Team Competencies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Competency</w:t>
            </w:r>
          </w:p>
        </w:tc>
        <w:tc>
          <w:tcPr/>
          <w:p>
            <w:pPr>
              <w:pStyle w:val="Compact"/>
            </w:pPr>
            <w:r>
              <w:t xml:space="preserve">Repository Evidence</w:t>
            </w:r>
          </w:p>
        </w:tc>
      </w:tr>
      <w:tr>
        <w:tc>
          <w:tcPr/>
          <w:p>
            <w:pPr>
              <w:pStyle w:val="Compact"/>
            </w:pPr>
            <w:r>
              <w:t xml:space="preserve">Governed autonomy architecture</w:t>
            </w:r>
          </w:p>
        </w:tc>
        <w:tc>
          <w:tcPr/>
          <w:p>
            <w:pPr>
              <w:pStyle w:val="Compact"/>
            </w:pPr>
            <w:r>
              <w:t xml:space="preserve">NEXUS AGP, execution guard, TELOS, immune, and robotics modules.</w:t>
            </w:r>
          </w:p>
        </w:tc>
      </w:tr>
      <w:tr>
        <w:tc>
          <w:tcPr/>
          <w:p>
            <w:pPr>
              <w:pStyle w:val="Compact"/>
            </w:pPr>
            <w:r>
              <w:t xml:space="preserve">Robotics middleware modeling</w:t>
            </w:r>
          </w:p>
        </w:tc>
        <w:tc>
          <w:tcPr/>
          <w:p>
            <w:pPr>
              <w:pStyle w:val="Compact"/>
            </w:pPr>
            <w:r>
              <w:t xml:space="preserve">ROS2 bridge and production adapter in</w:t>
            </w:r>
            <w:r>
              <w:t xml:space="preserve"> </w:t>
            </w:r>
            <w:r>
              <w:rPr>
                <w:rStyle w:val="VerbatimChar"/>
              </w:rPr>
              <w:t xml:space="preserve">agp-core/src/os/ros2/</w:t>
            </w:r>
            <w:r>
              <w:t xml:space="preserve">.</w:t>
            </w:r>
          </w:p>
        </w:tc>
      </w:tr>
      <w:tr>
        <w:tc>
          <w:tcPr/>
          <w:p>
            <w:pPr>
              <w:pStyle w:val="Compact"/>
            </w:pPr>
            <w:r>
              <w:t xml:space="preserve">Safety scheduling</w:t>
            </w:r>
          </w:p>
        </w:tc>
        <w:tc>
          <w:tcPr/>
          <w:p>
            <w:pPr>
              <w:pStyle w:val="Compact"/>
            </w:pPr>
            <w:r>
              <w:t xml:space="preserve">Python RTOS scheduler and Rust</w:t>
            </w:r>
            <w:r>
              <w:t xml:space="preserve"> </w:t>
            </w:r>
            <w:r>
              <w:rPr>
                <w:rStyle w:val="VerbatimChar"/>
              </w:rPr>
              <w:t xml:space="preserve">nexus-rtos-core</w:t>
            </w:r>
            <w:r>
              <w:t xml:space="preserve">.</w:t>
            </w:r>
          </w:p>
        </w:tc>
      </w:tr>
      <w:tr>
        <w:tc>
          <w:tcPr/>
          <w:p>
            <w:pPr>
              <w:pStyle w:val="Compact"/>
            </w:pPr>
            <w:r>
              <w:t xml:space="preserve">Resource governance</w:t>
            </w:r>
          </w:p>
        </w:tc>
        <w:tc>
          <w:tcPr/>
          <w:p>
            <w:pPr>
              <w:pStyle w:val="Compact"/>
            </w:pPr>
            <w:r>
              <w:t xml:space="preserve">Memory, token, CPU, and I/O quota controller.</w:t>
            </w:r>
          </w:p>
        </w:tc>
      </w:tr>
      <w:tr>
        <w:tc>
          <w:tcPr/>
          <w:p>
            <w:pPr>
              <w:pStyle w:val="Compact"/>
            </w:pPr>
            <w:r>
              <w:t xml:space="preserve">Evidence packaging</w:t>
            </w:r>
          </w:p>
        </w:tc>
        <w:tc>
          <w:tcPr/>
          <w:p>
            <w:pPr>
              <w:pStyle w:val="Compact"/>
            </w:pPr>
            <w:r>
              <w:t xml:space="preserve">Annexure 4 includes source screenshots, test output, repo links, and artifact maps.</w:t>
            </w:r>
          </w:p>
        </w:tc>
      </w:tr>
    </w:tbl>
    <w:bookmarkEnd w:id="14"/>
    <w:bookmarkStart w:id="15" w:name="why-idex-support-is-required"/>
    <w:p>
      <w:pPr>
        <w:pStyle w:val="Heading2"/>
      </w:pPr>
      <w:r>
        <w:t xml:space="preserve">5. Why iDEX Support Is Required</w:t>
      </w:r>
    </w:p>
    <w:p>
      <w:pPr>
        <w:pStyle w:val="FirstParagraph"/>
      </w:pPr>
      <w:r>
        <w:t xml:space="preserve">The remaining work is not only documentation. The required next step is defence-grade validation: target robot selection, ROS2 topic mapping, hardware-in-loop runs, timing measurement, safety-case reporting, and evaluator-friendly demo packaging. iDEX support will convert the current software subsystem prototype into a reviewable robotics safety package.</w:t>
      </w:r>
    </w:p>
    <w:bookmarkEnd w:id="15"/>
    <w:bookmarkStart w:id="16" w:name="readiness-caveat"/>
    <w:p>
      <w:pPr>
        <w:pStyle w:val="Heading2"/>
      </w:pPr>
      <w:r>
        <w:t xml:space="preserve">6. Readiness Caveat</w:t>
      </w:r>
    </w:p>
    <w:p>
      <w:pPr>
        <w:pStyle w:val="FirstParagraph"/>
      </w:pPr>
      <w:r>
        <w:t xml:space="preserve">The current package should be evaluated as a software-subsystem prototype. It does not claim physical robot deployment, military hardware qualification, environmental certification, or operational approval. Those are proposed milestones under the 12-month iDEX work plan.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2026-05-17T07:35:28Z</dcterms:created>
  <dcterms:modified xsi:type="dcterms:W3CDTF">2026-05-17T07:35:28Z</dcterms:modified>
</cp:coreProperties>
</file>

<file path=docProps/custom.xml><?xml version="1.0" encoding="utf-8"?>
<Properties xmlns="http://schemas.openxmlformats.org/officeDocument/2006/custom-properties" xmlns:vt="http://schemas.openxmlformats.org/officeDocument/2006/docPropsVTypes"/>
</file>