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3"/>
    <w:p>
      <w:pPr>
        <w:pStyle w:val="Heading1"/>
      </w:pPr>
      <w:r>
        <w:t xml:space="preserve">Annexure-3</w:t>
      </w:r>
    </w:p>
    <w:p>
      <w:pPr>
        <w:pStyle w:val="FirstParagraph"/>
      </w:pPr>
      <w:r>
        <w:t xml:space="preserve">Advantages, competencies, and benefits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7" w:name="advantages-and-competencies"/>
    <w:p>
      <w:pPr>
        <w:pStyle w:val="Heading1"/>
      </w:pPr>
      <w:r>
        <w:t xml:space="preserve">Advantages and Competencies</w:t>
      </w:r>
    </w:p>
    <w:bookmarkStart w:id="11" w:name="defence-benefits"/>
    <w:p>
      <w:pPr>
        <w:pStyle w:val="Heading2"/>
      </w:pPr>
      <w:r>
        <w:t xml:space="preserve">1. Defence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Defence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verification</w:t>
            </w:r>
          </w:p>
        </w:tc>
        <w:tc>
          <w:tcPr/>
          <w:p>
            <w:pPr>
              <w:pStyle w:val="Compact"/>
            </w:pPr>
            <w:r>
              <w:t xml:space="preserve">Works when central trust service or network connectivity is unavailable.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rejection</w:t>
            </w:r>
          </w:p>
        </w:tc>
        <w:tc>
          <w:tcPr/>
          <w:p>
            <w:pPr>
              <w:pStyle w:val="Compact"/>
            </w:pPr>
            <w:r>
              <w:t xml:space="preserve">Modified payloads fail signature validation because payload hash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rejection</w:t>
            </w:r>
          </w:p>
        </w:tc>
        <w:tc>
          <w:tcPr/>
          <w:p>
            <w:pPr>
              <w:pStyle w:val="Compact"/>
            </w:pPr>
            <w:r>
              <w:t xml:space="preserve">Nonce and sequence memory reduce repeated-packet and rollback risk.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 policy</w:t>
            </w:r>
          </w:p>
        </w:tc>
        <w:tc>
          <w:tcPr/>
          <w:p>
            <w:pPr>
              <w:pStyle w:val="Compact"/>
            </w:pPr>
            <w:r>
              <w:t xml:space="preserve">Stale mission information can be rejected based on source-specific windows.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accountability</w:t>
            </w:r>
          </w:p>
        </w:tc>
        <w:tc>
          <w:tcPr/>
          <w:p>
            <w:pPr>
              <w:pStyle w:val="Compact"/>
            </w:pPr>
            <w:r>
              <w:t xml:space="preserve">Every accepted packet is bound to an offline-trusted source key.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reason codes</w:t>
            </w:r>
          </w:p>
        </w:tc>
        <w:tc>
          <w:tcPr/>
          <w:p>
            <w:pPr>
              <w:pStyle w:val="Compact"/>
            </w:pPr>
            <w:r>
              <w:t xml:space="preserve">Rejection reasons are explicit and reviewable.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migration path</w:t>
            </w:r>
          </w:p>
        </w:tc>
        <w:tc>
          <w:tcPr/>
          <w:p>
            <w:pPr>
              <w:pStyle w:val="Compact"/>
            </w:pPr>
            <w:r>
              <w:t xml:space="preserve">Aligns future packet verification with NIST post-quantum transition planning.</w:t>
            </w:r>
          </w:p>
        </w:tc>
      </w:tr>
    </w:tbl>
    <w:bookmarkEnd w:id="11"/>
    <w:bookmarkStart w:id="12" w:name="technical-advantages"/>
    <w:p>
      <w:pPr>
        <w:pStyle w:val="Heading2"/>
      </w:pPr>
      <w:r>
        <w:t xml:space="preserve">2. Technical Advantages</w:t>
      </w:r>
    </w:p>
    <w:p>
      <w:pPr>
        <w:pStyle w:val="FirstParagraph"/>
      </w:pPr>
      <w:r>
        <w:t xml:space="preserve">AURA Trust is strongest as a provenance and verification layer, not as another messaging app. It focuses on the question defence reviewers care about after data leaves its origin: whether a packet can still be trusted offline, whether it was altered, whether it is fresh, whether it is replayed, and whether the decision is auditable.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Technical Advantage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Packet-level harness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aura_trust_offline_verification.py</w:t>
            </w:r>
            <w:r>
              <w:t xml:space="preserve"> </w:t>
            </w:r>
            <w:r>
              <w:t xml:space="preserve">passes 8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 audit primitives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nexus-etk</w:t>
            </w:r>
            <w:r>
              <w:t xml:space="preserve"> </w:t>
            </w:r>
            <w:r>
              <w:t xml:space="preserve">passes 9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migration path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</w:t>
            </w:r>
            <w:r>
              <w:t xml:space="preserve"> </w:t>
            </w:r>
            <w:r>
              <w:t xml:space="preserve">PQC feature tests pass 7/7.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 scope</w:t>
            </w:r>
          </w:p>
        </w:tc>
        <w:tc>
          <w:tcPr/>
          <w:p>
            <w:pPr>
              <w:pStyle w:val="Compact"/>
            </w:pPr>
            <w:r>
              <w:t xml:space="preserve">Documents state prototype status and hardening gaps.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traceability</w:t>
            </w:r>
          </w:p>
        </w:tc>
        <w:tc>
          <w:tcPr/>
          <w:p>
            <w:pPr>
              <w:pStyle w:val="Compact"/>
            </w:pPr>
            <w:r>
              <w:t xml:space="preserve">Annexure 4 includes screenshots, source paths, output logs, and artifact maps.</w:t>
            </w:r>
          </w:p>
        </w:tc>
      </w:tr>
    </w:tbl>
    <w:bookmarkEnd w:id="12"/>
    <w:bookmarkStart w:id="13" w:name="product-and-commercial-potential"/>
    <w:p>
      <w:pPr>
        <w:pStyle w:val="Heading2"/>
      </w:pPr>
      <w:r>
        <w:t xml:space="preserve">3. Product and Commercial Potential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</w:pPr>
            <w:r>
              <w:t xml:space="preserve">Potential Productization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command-and-control</w:t>
            </w:r>
          </w:p>
        </w:tc>
        <w:tc>
          <w:tcPr/>
          <w:p>
            <w:pPr>
              <w:pStyle w:val="Compact"/>
            </w:pPr>
            <w:r>
              <w:t xml:space="preserve">Offline verifier for orders, telemetry, and mission data packets.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 and sensor fusion</w:t>
            </w:r>
          </w:p>
        </w:tc>
        <w:tc>
          <w:tcPr/>
          <w:p>
            <w:pPr>
              <w:pStyle w:val="Compact"/>
            </w:pPr>
            <w:r>
              <w:t xml:space="preserve">Provenance verifier for sensor reports and intelligence products.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 and remote operations</w:t>
            </w:r>
          </w:p>
        </w:tc>
        <w:tc>
          <w:tcPr/>
          <w:p>
            <w:pPr>
              <w:pStyle w:val="Compact"/>
            </w:pPr>
            <w:r>
              <w:t xml:space="preserve">Disconnected packet verification for low-bandwidth environments.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cyber teams</w:t>
            </w:r>
          </w:p>
        </w:tc>
        <w:tc>
          <w:tcPr/>
          <w:p>
            <w:pPr>
              <w:pStyle w:val="Compact"/>
            </w:pPr>
            <w:r>
              <w:t xml:space="preserve">Tamper, replay, and unknown-source detection layer.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infrastructure</w:t>
            </w:r>
          </w:p>
        </w:tc>
        <w:tc>
          <w:tcPr/>
          <w:p>
            <w:pPr>
              <w:pStyle w:val="Compact"/>
            </w:pPr>
            <w:r>
              <w:t xml:space="preserve">Dual-use verification for grid, maritime, disaster response, and industrial telemetry.</w:t>
            </w:r>
          </w:p>
        </w:tc>
      </w:tr>
    </w:tbl>
    <w:bookmarkEnd w:id="13"/>
    <w:bookmarkStart w:id="14" w:name="team-competencies"/>
    <w:p>
      <w:pPr>
        <w:pStyle w:val="Heading2"/>
      </w:pPr>
      <w:r>
        <w:t xml:space="preserve">4. Team Competencies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Competency</w:t>
            </w:r>
          </w:p>
        </w:tc>
        <w:tc>
          <w:tcPr/>
          <w:p>
            <w:pPr>
              <w:pStyle w:val="Compact"/>
            </w:pPr>
            <w:r>
              <w:t xml:space="preserve">Repository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verification concepts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src/network/offline.py</w:t>
            </w:r>
            <w:r>
              <w:t xml:space="preserve"> </w:t>
            </w:r>
            <w:r>
              <w:t xml:space="preserve">and packet-level evidence harness.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Cryptographic packet verification</w:t>
            </w:r>
          </w:p>
        </w:tc>
        <w:tc>
          <w:tcPr/>
          <w:p>
            <w:pPr>
              <w:pStyle w:val="Compact"/>
            </w:pPr>
            <w:r>
              <w:t xml:space="preserve">Ed25519 test harness with tamper/replay/freshness scenarios.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and proof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nexus-etk</w:t>
            </w:r>
            <w:r>
              <w:t xml:space="preserve"> </w:t>
            </w:r>
            <w:r>
              <w:t xml:space="preserve">canonical event/proof schema and verifier.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PCU/PQC engineering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nexus-pcu/src/pqc.rs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proof.rs</w:t>
            </w:r>
            <w:r>
              <w:t xml:space="preserve">, and related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packaging</w:t>
            </w:r>
          </w:p>
        </w:tc>
        <w:tc>
          <w:tcPr/>
          <w:p>
            <w:pPr>
              <w:pStyle w:val="Compact"/>
            </w:pPr>
            <w:r>
              <w:t xml:space="preserve">Annexure 4 includes source screenshots, test output, repo links, and artifact maps.</w:t>
            </w:r>
          </w:p>
        </w:tc>
      </w:tr>
    </w:tbl>
    <w:bookmarkEnd w:id="14"/>
    <w:bookmarkStart w:id="15" w:name="why-idex-support-is-required"/>
    <w:p>
      <w:pPr>
        <w:pStyle w:val="Heading2"/>
      </w:pPr>
      <w:r>
        <w:t xml:space="preserve">5. Why iDEX Support Is Required</w:t>
      </w:r>
    </w:p>
    <w:p>
      <w:pPr>
        <w:pStyle w:val="FirstParagraph"/>
      </w:pPr>
      <w:r>
        <w:t xml:space="preserve">The remaining work is integration and hardening: key lifecycle, revocation bundles, packet policy profiles, offline trust store persistence, ETK binding, PQC packet enforcement, evaluator UX, and accreditation mapping. iDEX support will convert the current software-subsystem evidence into a defence-focused secure information verification prototype.</w:t>
      </w:r>
    </w:p>
    <w:bookmarkEnd w:id="15"/>
    <w:bookmarkStart w:id="16" w:name="readiness-caveat"/>
    <w:p>
      <w:pPr>
        <w:pStyle w:val="Heading2"/>
      </w:pPr>
      <w:r>
        <w:t xml:space="preserve">6. Readiness Caveat</w:t>
      </w:r>
    </w:p>
    <w:p>
      <w:pPr>
        <w:pStyle w:val="FirstParagraph"/>
      </w:pPr>
      <w:r>
        <w:t xml:space="preserve">The current package should be evaluated as a software-subsystem prototype. It does not claim classified network deployment, secure information platform accreditation, key-management approval, or field certification. Those are proposed milestones under the 12-month iDEX work plan.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2026-05-17T15:35:36Z</dcterms:created>
  <dcterms:modified xsi:type="dcterms:W3CDTF">2026-05-17T15:35:36Z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