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5" w:name="annexure-outline"/>
    <w:p>
      <w:pPr>
        <w:pStyle w:val="Heading1"/>
      </w:pPr>
      <w:r>
        <w:t xml:space="preserve">Annexure Outline</w:t>
      </w:r>
    </w:p>
    <w:p>
      <w:pPr>
        <w:pStyle w:val="FirstParagraph"/>
      </w:pPr>
      <w:r>
        <w:t xml:space="preserve">Company identification and section outline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Start w:id="10" w:name="company-identification"/>
    <w:p>
      <w:pPr>
        <w:pStyle w:val="Heading2"/>
      </w:pPr>
      <w:r>
        <w:t xml:space="preserve">Company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0"/>
    <w:bookmarkStart w:id="11" w:name="annexure-1-outline"/>
    <w:p>
      <w:pPr>
        <w:pStyle w:val="Heading2"/>
      </w:pPr>
      <w:r>
        <w:t xml:space="preserve">Annexure-1 Outline</w:t>
      </w:r>
    </w:p>
    <w:p>
      <w:pPr>
        <w:pStyle w:val="FirstParagraph"/>
      </w:pPr>
      <w:r>
        <w:t xml:space="preserve">Purpose: applicant details and proposed solution summary for the iDEX Open Challenge.</w:t>
      </w:r>
    </w:p>
    <w:p>
      <w:pPr>
        <w:pStyle w:val="BodyText"/>
      </w:pPr>
      <w:r>
        <w:t xml:space="preserve">Contents:</w:t>
      </w:r>
    </w:p>
    <w:p>
      <w:pPr>
        <w:pStyle w:val="Compact"/>
        <w:numPr>
          <w:ilvl w:val="0"/>
          <w:numId w:val="1001"/>
        </w:numPr>
      </w:pPr>
      <w:r>
        <w:t xml:space="preserve">Company and applicant details.</w:t>
      </w:r>
    </w:p>
    <w:p>
      <w:pPr>
        <w:pStyle w:val="Compact"/>
        <w:numPr>
          <w:ilvl w:val="0"/>
          <w:numId w:val="1001"/>
        </w:numPr>
      </w:pPr>
      <w:r>
        <w:t xml:space="preserve">Challenge title.</w:t>
      </w:r>
    </w:p>
    <w:p>
      <w:pPr>
        <w:pStyle w:val="Compact"/>
        <w:numPr>
          <w:ilvl w:val="0"/>
          <w:numId w:val="1001"/>
        </w:numPr>
      </w:pPr>
      <w:r>
        <w:t xml:space="preserve">Intended defence end-user profile.</w:t>
      </w:r>
    </w:p>
    <w:p>
      <w:pPr>
        <w:pStyle w:val="Compact"/>
        <w:numPr>
          <w:ilvl w:val="0"/>
          <w:numId w:val="1001"/>
        </w:numPr>
      </w:pPr>
      <w:r>
        <w:t xml:space="preserve">Brief solution summary under 250 words.</w:t>
      </w:r>
    </w:p>
    <w:p>
      <w:pPr>
        <w:pStyle w:val="Compact"/>
        <w:numPr>
          <w:ilvl w:val="0"/>
          <w:numId w:val="1001"/>
        </w:numPr>
      </w:pPr>
      <w:r>
        <w:t xml:space="preserve">Key technologies used.</w:t>
      </w:r>
    </w:p>
    <w:p>
      <w:pPr>
        <w:pStyle w:val="Compact"/>
        <w:numPr>
          <w:ilvl w:val="0"/>
          <w:numId w:val="1001"/>
        </w:numPr>
      </w:pPr>
      <w:r>
        <w:t xml:space="preserve">Deliverables table.</w:t>
      </w:r>
    </w:p>
    <w:p>
      <w:pPr>
        <w:pStyle w:val="Compact"/>
        <w:numPr>
          <w:ilvl w:val="0"/>
          <w:numId w:val="1001"/>
        </w:numPr>
      </w:pPr>
      <w:r>
        <w:t xml:space="preserve">Phase-wise 12-month timeline.</w:t>
      </w:r>
    </w:p>
    <w:bookmarkEnd w:id="11"/>
    <w:bookmarkStart w:id="12" w:name="annexure-2-outline"/>
    <w:p>
      <w:pPr>
        <w:pStyle w:val="Heading2"/>
      </w:pPr>
      <w:r>
        <w:t xml:space="preserve">Annexure-2 Outline</w:t>
      </w:r>
    </w:p>
    <w:p>
      <w:pPr>
        <w:pStyle w:val="FirstParagraph"/>
      </w:pPr>
      <w:r>
        <w:t xml:space="preserve">Purpose: technical architecture and implementation approach for Cyber Immune SOAR.</w:t>
      </w:r>
    </w:p>
    <w:p>
      <w:pPr>
        <w:pStyle w:val="BodyText"/>
      </w:pPr>
      <w:r>
        <w:t xml:space="preserve">Contents:</w:t>
      </w:r>
    </w:p>
    <w:p>
      <w:pPr>
        <w:pStyle w:val="Compact"/>
        <w:numPr>
          <w:ilvl w:val="0"/>
          <w:numId w:val="1002"/>
        </w:numPr>
      </w:pPr>
      <w:r>
        <w:t xml:space="preserve">Cyber event to immune signal flow.</w:t>
      </w:r>
    </w:p>
    <w:p>
      <w:pPr>
        <w:pStyle w:val="Compact"/>
        <w:numPr>
          <w:ilvl w:val="0"/>
          <w:numId w:val="1002"/>
        </w:numPr>
      </w:pPr>
      <w:r>
        <w:t xml:space="preserve">Governance bridge response policy.</w:t>
      </w:r>
    </w:p>
    <w:p>
      <w:pPr>
        <w:pStyle w:val="Compact"/>
        <w:numPr>
          <w:ilvl w:val="0"/>
          <w:numId w:val="1002"/>
        </w:numPr>
      </w:pPr>
      <w:r>
        <w:t xml:space="preserve">Quarantine, throttle, escalation, and audit actions.</w:t>
      </w:r>
    </w:p>
    <w:p>
      <w:pPr>
        <w:pStyle w:val="Compact"/>
        <w:numPr>
          <w:ilvl w:val="0"/>
          <w:numId w:val="1002"/>
        </w:numPr>
      </w:pPr>
      <w:r>
        <w:t xml:space="preserve">Multi-agent defection and trust-reduction handling.</w:t>
      </w:r>
    </w:p>
    <w:p>
      <w:pPr>
        <w:pStyle w:val="Compact"/>
        <w:numPr>
          <w:ilvl w:val="0"/>
          <w:numId w:val="1002"/>
        </w:numPr>
      </w:pPr>
      <w:r>
        <w:t xml:space="preserve">Test evidence and software readiness caveats.</w:t>
      </w:r>
    </w:p>
    <w:bookmarkEnd w:id="12"/>
    <w:bookmarkStart w:id="13" w:name="annexure-3-outline"/>
    <w:p>
      <w:pPr>
        <w:pStyle w:val="Heading2"/>
      </w:pPr>
      <w:r>
        <w:t xml:space="preserve">Annexure-3 Outline</w:t>
      </w:r>
    </w:p>
    <w:p>
      <w:pPr>
        <w:pStyle w:val="FirstParagraph"/>
      </w:pPr>
      <w:r>
        <w:t xml:space="preserve">Purpose: advantages, product value, commercial value, and competencies.</w:t>
      </w:r>
    </w:p>
    <w:bookmarkEnd w:id="13"/>
    <w:bookmarkStart w:id="14" w:name="annexure-4-outline"/>
    <w:p>
      <w:pPr>
        <w:pStyle w:val="Heading2"/>
      </w:pPr>
      <w:r>
        <w:t xml:space="preserve">Annexure-4 Outline</w:t>
      </w:r>
    </w:p>
    <w:p>
      <w:pPr>
        <w:pStyle w:val="FirstParagraph"/>
      </w:pPr>
      <w:r>
        <w:t xml:space="preserve">Purpose: supporting evidence, screenshots, test output, repository locations, artifact locations, and readiness caveats.</w:t>
      </w:r>
    </w:p>
    <w:bookmarkEnd w:id="14"/>
    <w:bookmarkEnd w:id="15"/>
    <w:bookmarkStart w:id="16" w:name="annexure-1"/>
    <w:p>
      <w:pPr>
        <w:pStyle w:val="Heading1"/>
      </w:pPr>
      <w:r>
        <w:t xml:space="preserve">Annexure-1</w:t>
      </w:r>
    </w:p>
    <w:p>
      <w:pPr>
        <w:pStyle w:val="FirstParagraph"/>
      </w:pPr>
      <w:r>
        <w:t xml:space="preserve">Application and proposed solution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6"/>
    <w:bookmarkStart w:id="27" w:name="X5586dfcd4683f2590afeea6a79b1f902d3bb710"/>
    <w:p>
      <w:pPr>
        <w:pStyle w:val="Heading1"/>
      </w:pPr>
      <w:r>
        <w:t xml:space="preserve">Applicant Details and Proposed Solution Summary</w:t>
      </w:r>
    </w:p>
    <w:bookmarkStart w:id="17" w:name="company-identification-details"/>
    <w:p>
      <w:pPr>
        <w:pStyle w:val="Heading2"/>
      </w:pPr>
      <w:r>
        <w:t xml:space="preserve">Company Identification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7"/>
    <w:bookmarkStart w:id="18" w:name="applicant-details"/>
    <w:p>
      <w:pPr>
        <w:pStyle w:val="Heading2"/>
      </w:pPr>
      <w:r>
        <w:t xml:space="preserve">1. Applicant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Applicant Startup Name</w:t>
            </w:r>
          </w:p>
        </w:tc>
        <w:tc>
          <w:tcPr/>
          <w:p>
            <w:pPr>
              <w:pStyle w:val="Compact"/>
            </w:pPr>
            <w:r>
              <w:t xml:space="preserve">Syntriass Labs Private Limited</w:t>
            </w:r>
          </w:p>
        </w:tc>
      </w:tr>
      <w:tr>
        <w:tc>
          <w:tcPr/>
          <w:p>
            <w:pPr>
              <w:pStyle w:val="Compact"/>
            </w:pPr>
            <w:r>
              <w:t xml:space="preserve">Technology / Platform Name</w:t>
            </w:r>
          </w:p>
        </w:tc>
        <w:tc>
          <w:tcPr/>
          <w:p>
            <w:pPr>
              <w:pStyle w:val="Compact"/>
            </w:pPr>
            <w:r>
              <w:t xml:space="preserve">Cyber Immune SOAR</w:t>
            </w:r>
          </w:p>
        </w:tc>
      </w:tr>
      <w:tr>
        <w:tc>
          <w:tcPr/>
          <w:p>
            <w:pPr>
              <w:pStyle w:val="Compact"/>
            </w:pPr>
            <w:r>
              <w:t xml:space="preserve">Intended Defence End User</w:t>
            </w:r>
          </w:p>
        </w:tc>
        <w:tc>
          <w:tcPr/>
          <w:p>
            <w:pPr>
              <w:pStyle w:val="Compact"/>
            </w:pPr>
            <w:r>
              <w:t xml:space="preserve">Indian Armed Forces cyber defence teams, DRDO cyber/AI assurance evaluators, SOC teams supporting defence networks, autonomous-system security teams, and command technology units evaluating governed response automation.</w:t>
            </w:r>
          </w:p>
        </w:tc>
      </w:tr>
      <w:tr>
        <w:tc>
          <w:tcPr/>
          <w:p>
            <w:pPr>
              <w:pStyle w:val="Compact"/>
            </w:pPr>
            <w:r>
              <w:t xml:space="preserve">Applicant Name</w:t>
            </w:r>
          </w:p>
        </w:tc>
        <w:tc>
          <w:tcPr/>
          <w:p>
            <w:pPr>
              <w:pStyle w:val="Compact"/>
            </w:pPr>
            <w:r>
              <w:t xml:space="preserve">K. Naga Sri Ganesh</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Number</w:t>
            </w:r>
          </w:p>
        </w:tc>
        <w:tc>
          <w:tcPr/>
          <w:p>
            <w:pPr>
              <w:pStyle w:val="Compact"/>
            </w:pPr>
            <w:r>
              <w:t xml:space="preserve">+91 88864 68060</w:t>
            </w:r>
          </w:p>
        </w:tc>
      </w:tr>
      <w:tr>
        <w:tc>
          <w:tcPr/>
          <w:p>
            <w:pPr>
              <w:pStyle w:val="Compact"/>
            </w:pPr>
            <w:r>
              <w:t xml:space="preserve">Registered Office Address</w:t>
            </w:r>
          </w:p>
        </w:tc>
        <w:tc>
          <w:tcPr/>
          <w:p>
            <w:pPr>
              <w:pStyle w:val="Compact"/>
            </w:pPr>
            <w:r>
              <w:t xml:space="preserve">12-50, SLV Market, 12 Ward, Dharmavaram, Ananthapur - 515671, Andhra Pradesh, India</w:t>
            </w:r>
          </w:p>
        </w:tc>
      </w:tr>
      <w:tr>
        <w:tc>
          <w:tcPr/>
          <w:p>
            <w:pPr>
              <w:pStyle w:val="Compact"/>
            </w:pPr>
            <w:r>
              <w:t xml:space="preserve">CIN / Incorporation Number</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DPIIT, Certificate No.</w:t>
            </w:r>
          </w:p>
        </w:tc>
        <w:tc>
          <w:tcPr/>
          <w:p>
            <w:pPr>
              <w:pStyle w:val="Compact"/>
            </w:pPr>
            <w:r>
              <w:t xml:space="preserve">DIPP215355</w:t>
            </w:r>
          </w:p>
        </w:tc>
      </w:tr>
      <w:tr>
        <w:tc>
          <w:tcPr/>
          <w:p>
            <w:pPr>
              <w:pStyle w:val="Compact"/>
            </w:pPr>
            <w:r>
              <w:t xml:space="preserve">Proposed Project Duration</w:t>
            </w:r>
          </w:p>
        </w:tc>
        <w:tc>
          <w:tcPr/>
          <w:p>
            <w:pPr>
              <w:pStyle w:val="Compact"/>
            </w:pPr>
            <w:r>
              <w:t xml:space="preserve">12 months</w:t>
            </w:r>
          </w:p>
        </w:tc>
      </w:tr>
      <w:tr>
        <w:tc>
          <w:tcPr/>
          <w:p>
            <w:pPr>
              <w:pStyle w:val="Compact"/>
            </w:pPr>
            <w:r>
              <w:t xml:space="preserve">Submission Date</w:t>
            </w:r>
          </w:p>
        </w:tc>
        <w:tc>
          <w:tcPr/>
          <w:p>
            <w:pPr>
              <w:pStyle w:val="Compact"/>
            </w:pPr>
            <w:r>
              <w:t xml:space="preserve">17 May 2026</w:t>
            </w:r>
          </w:p>
        </w:tc>
      </w:tr>
    </w:tbl>
    <w:bookmarkEnd w:id="18"/>
    <w:bookmarkStart w:id="19" w:name="final-challenge-title"/>
    <w:p>
      <w:pPr>
        <w:pStyle w:val="Heading2"/>
      </w:pPr>
      <w:r>
        <w:t xml:space="preserve">2. Final Challenge Title</w:t>
      </w:r>
    </w:p>
    <w:p>
      <w:pPr>
        <w:pStyle w:val="FirstParagraph"/>
      </w:pPr>
      <w:r>
        <w:t xml:space="preserve">Cyber Immune SOAR: Policy-Bounded Cyber Defence Response With Immune Threat Memory, Quarantine, and Audit</w:t>
      </w:r>
    </w:p>
    <w:bookmarkEnd w:id="19"/>
    <w:bookmarkStart w:id="20" w:name="intended-defence-end-users"/>
    <w:p>
      <w:pPr>
        <w:pStyle w:val="Heading2"/>
      </w:pPr>
      <w:r>
        <w:t xml:space="preserve">3. Intended Defence End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End-User Group</w:t>
            </w:r>
          </w:p>
        </w:tc>
        <w:tc>
          <w:tcPr/>
          <w:p>
            <w:pPr>
              <w:pStyle w:val="Compact"/>
            </w:pPr>
            <w:r>
              <w:t xml:space="preserve">Operational Need Addressed</w:t>
            </w:r>
          </w:p>
        </w:tc>
      </w:tr>
      <w:tr>
        <w:tc>
          <w:tcPr/>
          <w:p>
            <w:pPr>
              <w:pStyle w:val="Compact"/>
            </w:pPr>
            <w:r>
              <w:t xml:space="preserve">Defence SOC teams</w:t>
            </w:r>
          </w:p>
        </w:tc>
        <w:tc>
          <w:tcPr/>
          <w:p>
            <w:pPr>
              <w:pStyle w:val="Compact"/>
            </w:pPr>
            <w:r>
              <w:t xml:space="preserve">Reduce response delay from alert overload while keeping containment actions policy-bounded.</w:t>
            </w:r>
          </w:p>
        </w:tc>
      </w:tr>
      <w:tr>
        <w:tc>
          <w:tcPr/>
          <w:p>
            <w:pPr>
              <w:pStyle w:val="Compact"/>
            </w:pPr>
            <w:r>
              <w:t xml:space="preserve">Cyber defence units</w:t>
            </w:r>
          </w:p>
        </w:tc>
        <w:tc>
          <w:tcPr/>
          <w:p>
            <w:pPr>
              <w:pStyle w:val="Compact"/>
            </w:pPr>
            <w:r>
              <w:t xml:space="preserve">Convert suspicious service, endpoint, and agent behavior into scored response decisions.</w:t>
            </w:r>
          </w:p>
        </w:tc>
      </w:tr>
      <w:tr>
        <w:tc>
          <w:tcPr/>
          <w:p>
            <w:pPr>
              <w:pStyle w:val="Compact"/>
            </w:pPr>
            <w:r>
              <w:t xml:space="preserve">Autonomous-system security teams</w:t>
            </w:r>
          </w:p>
        </w:tc>
        <w:tc>
          <w:tcPr/>
          <w:p>
            <w:pPr>
              <w:pStyle w:val="Compact"/>
            </w:pPr>
            <w:r>
              <w:t xml:space="preserve">Detect compromised software agents or services before they influence wider mission systems.</w:t>
            </w:r>
          </w:p>
        </w:tc>
      </w:tr>
      <w:tr>
        <w:tc>
          <w:tcPr/>
          <w:p>
            <w:pPr>
              <w:pStyle w:val="Compact"/>
            </w:pPr>
            <w:r>
              <w:t xml:space="preserve">DRDO cyber/AI assurance evaluators</w:t>
            </w:r>
          </w:p>
        </w:tc>
        <w:tc>
          <w:tcPr/>
          <w:p>
            <w:pPr>
              <w:pStyle w:val="Compact"/>
            </w:pPr>
            <w:r>
              <w:t xml:space="preserve">Test immune-style threat memory, governance bridge response mapping, and auditability.</w:t>
            </w:r>
          </w:p>
        </w:tc>
      </w:tr>
      <w:tr>
        <w:tc>
          <w:tcPr/>
          <w:p>
            <w:pPr>
              <w:pStyle w:val="Compact"/>
            </w:pPr>
            <w:r>
              <w:t xml:space="preserve">Command technology units</w:t>
            </w:r>
          </w:p>
        </w:tc>
        <w:tc>
          <w:tcPr/>
          <w:p>
            <w:pPr>
              <w:pStyle w:val="Compact"/>
            </w:pPr>
            <w:r>
              <w:t xml:space="preserve">Review what action was taken, why it was taken, and what evidence supported the response.</w:t>
            </w:r>
          </w:p>
        </w:tc>
      </w:tr>
      <w:tr>
        <w:tc>
          <w:tcPr/>
          <w:p>
            <w:pPr>
              <w:pStyle w:val="Compact"/>
            </w:pPr>
            <w:r>
              <w:t xml:space="preserve">System integrators</w:t>
            </w:r>
          </w:p>
        </w:tc>
        <w:tc>
          <w:tcPr/>
          <w:p>
            <w:pPr>
              <w:pStyle w:val="Compact"/>
            </w:pPr>
            <w:r>
              <w:t xml:space="preserve">Add governed cyber containment to simulation environments before live network integration.</w:t>
            </w:r>
          </w:p>
        </w:tc>
      </w:tr>
    </w:tbl>
    <w:bookmarkEnd w:id="20"/>
    <w:bookmarkStart w:id="21" w:name="a.-brief-summary-of-proposed-solution"/>
    <w:p>
      <w:pPr>
        <w:pStyle w:val="Heading2"/>
      </w:pPr>
      <w:r>
        <w:t xml:space="preserve">4. A. Brief Summary of Proposed Solution</w:t>
      </w:r>
    </w:p>
    <w:p>
      <w:pPr>
        <w:pStyle w:val="FirstParagraph"/>
      </w:pPr>
      <w:r>
        <w:t xml:space="preserve">Defence cyber teams face alert overload, expanding attack surfaces, and response delays across endpoints, services, robotic agents, and mission software. Conventional SOAR tools automate playbooks, but they often lack behavior-aware trust scoring, immune-style threat memory, governed response constraints, and reviewable quarantine evidence.</w:t>
      </w:r>
    </w:p>
    <w:p>
      <w:pPr>
        <w:pStyle w:val="BodyText"/>
      </w:pPr>
      <w:r>
        <w:t xml:space="preserve">Cyber Immune SOAR proposes a policy-bounded cyber defence prototype that converts simulated cyber events into immune threat signals, assigns severity and confidence, applies governance rules, triggers observe, throttle, block, quarantine, or escalation actions, and records the event-to-action trail for review. The system is designed as controlled cyber response infrastructure with explicit policy limits and human-escalation thresholds.</w:t>
      </w:r>
    </w:p>
    <w:p>
      <w:pPr>
        <w:pStyle w:val="BodyText"/>
      </w:pPr>
      <w:r>
        <w:t xml:space="preserve">The first iDEX demo will use simulated cyber events such as suspicious process behavior, anomalous service activity, policy violation, compromised agent indicators, and multi-agent collusion signals. These events will be converted into immune signals. The governance bridge will decide whether to observe, throttle, block, quarantine, or escalate. The prototype will show reputation impact, trust reduction, containment action, and audit evidence for each response.</w:t>
      </w:r>
    </w:p>
    <w:p>
      <w:pPr>
        <w:pStyle w:val="BodyText"/>
      </w:pPr>
      <w:r>
        <w:t xml:space="preserve">Current evidence is software-subsystem TRL 3-4. Live SOC integration, real endpoint enforcement, classified network accreditation, and operational cyber response authority are not claimed and are proposed as later validation stages.</w:t>
      </w:r>
    </w:p>
    <w:bookmarkEnd w:id="21"/>
    <w:bookmarkStart w:id="22" w:name="critical-defence-problems-addressed"/>
    <w:p>
      <w:pPr>
        <w:pStyle w:val="Heading2"/>
      </w:pPr>
      <w:r>
        <w:t xml:space="preserve">5. Critical Defence Problems Addressed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Critical Problem</w:t>
            </w:r>
          </w:p>
        </w:tc>
        <w:tc>
          <w:tcPr/>
          <w:p>
            <w:pPr>
              <w:pStyle w:val="Compact"/>
            </w:pPr>
            <w:r>
              <w:t xml:space="preserve">Operational Relevance For Defence Users</w:t>
            </w:r>
          </w:p>
        </w:tc>
        <w:tc>
          <w:tcPr/>
          <w:p>
            <w:pPr>
              <w:pStyle w:val="Compact"/>
            </w:pPr>
            <w:r>
              <w:t xml:space="preserve">Proposed Control</w:t>
            </w:r>
          </w:p>
        </w:tc>
      </w:tr>
      <w:tr>
        <w:tc>
          <w:tcPr/>
          <w:p>
            <w:pPr>
              <w:pStyle w:val="Compact"/>
            </w:pPr>
            <w:r>
              <w:t xml:space="preserve">Alert overload</w:t>
            </w:r>
          </w:p>
        </w:tc>
        <w:tc>
          <w:tcPr/>
          <w:p>
            <w:pPr>
              <w:pStyle w:val="Compact"/>
            </w:pPr>
            <w:r>
              <w:t xml:space="preserve">Human analysts cannot inspect every event at machine speed.</w:t>
            </w:r>
          </w:p>
        </w:tc>
        <w:tc>
          <w:tcPr/>
          <w:p>
            <w:pPr>
              <w:pStyle w:val="Compact"/>
            </w:pPr>
            <w:r>
              <w:t xml:space="preserve">Immune signal engine converts events into severity and confidence.</w:t>
            </w:r>
          </w:p>
        </w:tc>
      </w:tr>
      <w:tr>
        <w:tc>
          <w:tcPr/>
          <w:p>
            <w:pPr>
              <w:pStyle w:val="Compact"/>
            </w:pPr>
            <w:r>
              <w:t xml:space="preserve">Unsafe automation</w:t>
            </w:r>
          </w:p>
        </w:tc>
        <w:tc>
          <w:tcPr/>
          <w:p>
            <w:pPr>
              <w:pStyle w:val="Compact"/>
            </w:pPr>
            <w:r>
              <w:t xml:space="preserve">Automated playbooks can disrupt mission services if unconstrained.</w:t>
            </w:r>
          </w:p>
        </w:tc>
        <w:tc>
          <w:tcPr/>
          <w:p>
            <w:pPr>
              <w:pStyle w:val="Compact"/>
            </w:pPr>
            <w:r>
              <w:t xml:space="preserve">Governance bridge maps actions to monitor, throttle, block, quarantine, or escalation.</w:t>
            </w:r>
          </w:p>
        </w:tc>
      </w:tr>
      <w:tr>
        <w:tc>
          <w:tcPr/>
          <w:p>
            <w:pPr>
              <w:pStyle w:val="Compact"/>
            </w:pPr>
            <w:r>
              <w:t xml:space="preserve">Compromised agent/service</w:t>
            </w:r>
          </w:p>
        </w:tc>
        <w:tc>
          <w:tcPr/>
          <w:p>
            <w:pPr>
              <w:pStyle w:val="Compact"/>
            </w:pPr>
            <w:r>
              <w:t xml:space="preserve">A malicious or compromised software component can move laterally or mislead systems.</w:t>
            </w:r>
          </w:p>
        </w:tc>
        <w:tc>
          <w:tcPr/>
          <w:p>
            <w:pPr>
              <w:pStyle w:val="Compact"/>
            </w:pPr>
            <w:r>
              <w:t xml:space="preserve">ThreatSignal and DefectionSignal pathways trigger response and trust reduction.</w:t>
            </w:r>
          </w:p>
        </w:tc>
      </w:tr>
      <w:tr>
        <w:tc>
          <w:tcPr/>
          <w:p>
            <w:pPr>
              <w:pStyle w:val="Compact"/>
            </w:pPr>
            <w:r>
              <w:t xml:space="preserve">Collusion or coordinated activity</w:t>
            </w:r>
          </w:p>
        </w:tc>
        <w:tc>
          <w:tcPr/>
          <w:p>
            <w:pPr>
              <w:pStyle w:val="Compact"/>
            </w:pPr>
            <w:r>
              <w:t xml:space="preserve">Multiple compromised nodes may act together.</w:t>
            </w:r>
          </w:p>
        </w:tc>
        <w:tc>
          <w:tcPr/>
          <w:p>
            <w:pPr>
              <w:pStyle w:val="Compact"/>
            </w:pPr>
            <w:r>
              <w:t xml:space="preserve">Multi-agent defection signal returns multi_quarantine and trust penalties.</w:t>
            </w:r>
          </w:p>
        </w:tc>
      </w:tr>
      <w:tr>
        <w:tc>
          <w:tcPr/>
          <w:p>
            <w:pPr>
              <w:pStyle w:val="Compact"/>
            </w:pPr>
            <w:r>
              <w:t xml:space="preserve">Weak after-action review</w:t>
            </w:r>
          </w:p>
        </w:tc>
        <w:tc>
          <w:tcPr/>
          <w:p>
            <w:pPr>
              <w:pStyle w:val="Compact"/>
            </w:pPr>
            <w:r>
              <w:t xml:space="preserve">Cyber actions need reason codes and reproducible evidence.</w:t>
            </w:r>
          </w:p>
        </w:tc>
        <w:tc>
          <w:tcPr/>
          <w:p>
            <w:pPr>
              <w:pStyle w:val="Compact"/>
            </w:pPr>
            <w:r>
              <w:t xml:space="preserve">Event-to-action audit trail and screenshot-backed test evidence.</w:t>
            </w:r>
          </w:p>
        </w:tc>
      </w:tr>
      <w:tr>
        <w:tc>
          <w:tcPr/>
          <w:p>
            <w:pPr>
              <w:pStyle w:val="Compact"/>
            </w:pPr>
            <w:r>
              <w:t xml:space="preserve">Poor threat memory</w:t>
            </w:r>
          </w:p>
        </w:tc>
        <w:tc>
          <w:tcPr/>
          <w:p>
            <w:pPr>
              <w:pStyle w:val="Compact"/>
            </w:pPr>
            <w:r>
              <w:t xml:space="preserve">One-off detection does not improve future response.</w:t>
            </w:r>
          </w:p>
        </w:tc>
        <w:tc>
          <w:tcPr/>
          <w:p>
            <w:pPr>
              <w:pStyle w:val="Compact"/>
            </w:pPr>
            <w:r>
              <w:t xml:space="preserve">Unified immune system stores known threat vectors and performs similarity checks.</w:t>
            </w:r>
          </w:p>
        </w:tc>
      </w:tr>
    </w:tbl>
    <w:bookmarkEnd w:id="22"/>
    <w:bookmarkStart w:id="23" w:name="b.-key-technologies-used"/>
    <w:p>
      <w:pPr>
        <w:pStyle w:val="Heading2"/>
      </w:pPr>
      <w:r>
        <w:t xml:space="preserve">6. B. Key Technologies Used</w:t>
      </w:r>
    </w:p>
    <w:p>
      <w:pPr>
        <w:pStyle w:val="Compact"/>
        <w:numPr>
          <w:ilvl w:val="0"/>
          <w:numId w:val="1003"/>
        </w:numPr>
      </w:pPr>
      <w:r>
        <w:t xml:space="preserve">Immune threat signalling</w:t>
      </w:r>
    </w:p>
    <w:p>
      <w:pPr>
        <w:pStyle w:val="Compact"/>
        <w:numPr>
          <w:ilvl w:val="0"/>
          <w:numId w:val="1003"/>
        </w:numPr>
      </w:pPr>
      <w:r>
        <w:t xml:space="preserve">Governance bridge response policy</w:t>
      </w:r>
    </w:p>
    <w:p>
      <w:pPr>
        <w:pStyle w:val="Compact"/>
        <w:numPr>
          <w:ilvl w:val="0"/>
          <w:numId w:val="1003"/>
        </w:numPr>
      </w:pPr>
      <w:r>
        <w:t xml:space="preserve">Multi-agent defection detection</w:t>
      </w:r>
    </w:p>
    <w:p>
      <w:pPr>
        <w:pStyle w:val="Compact"/>
        <w:numPr>
          <w:ilvl w:val="0"/>
          <w:numId w:val="1003"/>
        </w:numPr>
      </w:pPr>
      <w:r>
        <w:t xml:space="preserve">Trust and reputation scoring</w:t>
      </w:r>
    </w:p>
    <w:p>
      <w:pPr>
        <w:pStyle w:val="Compact"/>
        <w:numPr>
          <w:ilvl w:val="0"/>
          <w:numId w:val="1003"/>
        </w:numPr>
      </w:pPr>
      <w:r>
        <w:t xml:space="preserve">Quarantine and throttle simulation</w:t>
      </w:r>
    </w:p>
    <w:p>
      <w:pPr>
        <w:pStyle w:val="Compact"/>
        <w:numPr>
          <w:ilvl w:val="0"/>
          <w:numId w:val="1003"/>
        </w:numPr>
      </w:pPr>
      <w:r>
        <w:t xml:space="preserve">Audit trail and replay evidence</w:t>
      </w:r>
    </w:p>
    <w:bookmarkEnd w:id="23"/>
    <w:bookmarkStart w:id="24" w:name="c.-deliverables"/>
    <w:p>
      <w:pPr>
        <w:pStyle w:val="Heading2"/>
      </w:pPr>
      <w:r>
        <w:t xml:space="preserve">7. C. Deliverables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Defence-Oriented Description</w:t>
            </w:r>
          </w:p>
        </w:tc>
      </w:tr>
      <w:tr>
        <w:tc>
          <w:tcPr/>
          <w:p>
            <w:pPr>
              <w:pStyle w:val="Compact"/>
            </w:pPr>
            <w:r>
              <w:t xml:space="preserve">Cyber Event Simulator</w:t>
            </w:r>
          </w:p>
        </w:tc>
        <w:tc>
          <w:tcPr/>
          <w:p>
            <w:pPr>
              <w:pStyle w:val="Compact"/>
            </w:pPr>
            <w:r>
              <w:t xml:space="preserve">Generates controlled cyber event streams for process, service, agent, and policy-violation scenarios.</w:t>
            </w:r>
          </w:p>
        </w:tc>
      </w:tr>
      <w:tr>
        <w:tc>
          <w:tcPr/>
          <w:p>
            <w:pPr>
              <w:pStyle w:val="Compact"/>
            </w:pPr>
            <w:r>
              <w:t xml:space="preserve">Immune Threat Signal Engine</w:t>
            </w:r>
          </w:p>
        </w:tc>
        <w:tc>
          <w:tcPr/>
          <w:p>
            <w:pPr>
              <w:pStyle w:val="Compact"/>
            </w:pPr>
            <w:r>
              <w:t xml:space="preserve">Converts events into ThreatSignal and DefectionSignal records with severity and confidence.</w:t>
            </w:r>
          </w:p>
        </w:tc>
      </w:tr>
      <w:tr>
        <w:tc>
          <w:tcPr/>
          <w:p>
            <w:pPr>
              <w:pStyle w:val="Compact"/>
            </w:pPr>
            <w:r>
              <w:t xml:space="preserve">Governed Response Engine</w:t>
            </w:r>
          </w:p>
        </w:tc>
        <w:tc>
          <w:tcPr/>
          <w:p>
            <w:pPr>
              <w:pStyle w:val="Compact"/>
            </w:pPr>
            <w:r>
              <w:t xml:space="preserve">Selects observe, throttle, block, quarantine, or escalation under bounded policy.</w:t>
            </w:r>
          </w:p>
        </w:tc>
      </w:tr>
      <w:tr>
        <w:tc>
          <w:tcPr/>
          <w:p>
            <w:pPr>
              <w:pStyle w:val="Compact"/>
            </w:pPr>
            <w:r>
              <w:t xml:space="preserve">Multi-Agent Defection Scenario</w:t>
            </w:r>
          </w:p>
        </w:tc>
        <w:tc>
          <w:tcPr/>
          <w:p>
            <w:pPr>
              <w:pStyle w:val="Compact"/>
            </w:pPr>
            <w:r>
              <w:t xml:space="preserve">Demonstrates collusion detection, trust reduction, and multi_quarantine behavior in simulation.</w:t>
            </w:r>
          </w:p>
        </w:tc>
      </w:tr>
      <w:tr>
        <w:tc>
          <w:tcPr/>
          <w:p>
            <w:pPr>
              <w:pStyle w:val="Compact"/>
            </w:pPr>
            <w:r>
              <w:t xml:space="preserve">Audit and Replay Bundle</w:t>
            </w:r>
          </w:p>
        </w:tc>
        <w:tc>
          <w:tcPr/>
          <w:p>
            <w:pPr>
              <w:pStyle w:val="Compact"/>
            </w:pPr>
            <w:r>
              <w:t xml:space="preserve">Records event, signal, governance decision, action, result, and reviewer reason code.</w:t>
            </w:r>
          </w:p>
        </w:tc>
      </w:tr>
      <w:tr>
        <w:tc>
          <w:tcPr/>
          <w:p>
            <w:pPr>
              <w:pStyle w:val="Compact"/>
            </w:pPr>
            <w:r>
              <w:t xml:space="preserve">Dashboard Prototype</w:t>
            </w:r>
          </w:p>
        </w:tc>
        <w:tc>
          <w:tcPr/>
          <w:p>
            <w:pPr>
              <w:pStyle w:val="Compact"/>
            </w:pPr>
            <w:r>
              <w:t xml:space="preserve">Shows active threats, threat breakdown, quarantine state, trust changes, and response history.</w:t>
            </w:r>
          </w:p>
        </w:tc>
      </w:tr>
      <w:tr>
        <w:tc>
          <w:tcPr/>
          <w:p>
            <w:pPr>
              <w:pStyle w:val="Compact"/>
            </w:pPr>
            <w:r>
              <w:t xml:space="preserve">Test and Validation Report</w:t>
            </w:r>
          </w:p>
        </w:tc>
        <w:tc>
          <w:tcPr/>
          <w:p>
            <w:pPr>
              <w:pStyle w:val="Compact"/>
            </w:pPr>
            <w:r>
              <w:t xml:space="preserve">Provides executed test commands, results, artifact paths, caveats, and hardening roadmap.</w:t>
            </w:r>
          </w:p>
        </w:tc>
      </w:tr>
      <w:tr>
        <w:tc>
          <w:tcPr/>
          <w:p>
            <w:pPr>
              <w:pStyle w:val="Compact"/>
            </w:pPr>
            <w:r>
              <w:t xml:space="preserve">Integration Adapter Plan</w:t>
            </w:r>
          </w:p>
        </w:tc>
        <w:tc>
          <w:tcPr/>
          <w:p>
            <w:pPr>
              <w:pStyle w:val="Compact"/>
            </w:pPr>
            <w:r>
              <w:t xml:space="preserve">Defines future adapters for SIEM/SOAR feeds, endpoint control, and defence evaluator datasets.</w:t>
            </w:r>
          </w:p>
        </w:tc>
      </w:tr>
    </w:tbl>
    <w:bookmarkEnd w:id="24"/>
    <w:bookmarkStart w:id="25" w:name="d.-proposed-timeline"/>
    <w:p>
      <w:pPr>
        <w:pStyle w:val="Heading2"/>
      </w:pPr>
      <w:r>
        <w:t xml:space="preserve">8. D. Proposed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Work Package</w:t>
            </w:r>
          </w:p>
        </w:tc>
        <w:tc>
          <w:tcPr/>
          <w:p>
            <w:pPr>
              <w:pStyle w:val="Compact"/>
            </w:pPr>
            <w:r>
              <w:t xml:space="preserve">Expected Output</w:t>
            </w:r>
          </w:p>
        </w:tc>
      </w:tr>
      <w:tr>
        <w:tc>
          <w:tcPr/>
          <w:p>
            <w:pPr>
              <w:pStyle w:val="Compact"/>
            </w:pPr>
            <w:r>
              <w:t xml:space="preserve">Phase 1</w:t>
            </w:r>
          </w:p>
        </w:tc>
        <w:tc>
          <w:tcPr/>
          <w:p>
            <w:pPr>
              <w:pStyle w:val="Compact"/>
            </w:pPr>
            <w:r>
              <w:t xml:space="preserve">Month 1 to Month 2</w:t>
            </w:r>
          </w:p>
        </w:tc>
        <w:tc>
          <w:tcPr/>
          <w:p>
            <w:pPr>
              <w:pStyle w:val="Compact"/>
            </w:pPr>
            <w:r>
              <w:t xml:space="preserve">Defence cyber threat model</w:t>
            </w:r>
          </w:p>
        </w:tc>
        <w:tc>
          <w:tcPr/>
          <w:p>
            <w:pPr>
              <w:pStyle w:val="Compact"/>
            </w:pPr>
            <w:r>
              <w:t xml:space="preserve">Event classes, severity policy, response limits, and evaluator scenarios.</w:t>
            </w:r>
          </w:p>
        </w:tc>
      </w:tr>
      <w:tr>
        <w:tc>
          <w:tcPr/>
          <w:p>
            <w:pPr>
              <w:pStyle w:val="Compact"/>
            </w:pPr>
            <w:r>
              <w:t xml:space="preserve">Phase 2</w:t>
            </w:r>
          </w:p>
        </w:tc>
        <w:tc>
          <w:tcPr/>
          <w:p>
            <w:pPr>
              <w:pStyle w:val="Compact"/>
            </w:pPr>
            <w:r>
              <w:t xml:space="preserve">Month 3 to Month 4</w:t>
            </w:r>
          </w:p>
        </w:tc>
        <w:tc>
          <w:tcPr/>
          <w:p>
            <w:pPr>
              <w:pStyle w:val="Compact"/>
            </w:pPr>
            <w:r>
              <w:t xml:space="preserve">Event ingestion and simulator</w:t>
            </w:r>
          </w:p>
        </w:tc>
        <w:tc>
          <w:tcPr/>
          <w:p>
            <w:pPr>
              <w:pStyle w:val="Compact"/>
            </w:pPr>
            <w:r>
              <w:t xml:space="preserve">Controlled event generator and parser for cyber scenario feeds.</w:t>
            </w:r>
          </w:p>
        </w:tc>
      </w:tr>
      <w:tr>
        <w:tc>
          <w:tcPr/>
          <w:p>
            <w:pPr>
              <w:pStyle w:val="Compact"/>
            </w:pPr>
            <w:r>
              <w:t xml:space="preserve">Phase 3</w:t>
            </w:r>
          </w:p>
        </w:tc>
        <w:tc>
          <w:tcPr/>
          <w:p>
            <w:pPr>
              <w:pStyle w:val="Compact"/>
            </w:pPr>
            <w:r>
              <w:t xml:space="preserve">Month 5 to Month 6</w:t>
            </w:r>
          </w:p>
        </w:tc>
        <w:tc>
          <w:tcPr/>
          <w:p>
            <w:pPr>
              <w:pStyle w:val="Compact"/>
            </w:pPr>
            <w:r>
              <w:t xml:space="preserve">Immune signal conversion</w:t>
            </w:r>
          </w:p>
        </w:tc>
        <w:tc>
          <w:tcPr/>
          <w:p>
            <w:pPr>
              <w:pStyle w:val="Compact"/>
            </w:pPr>
            <w:r>
              <w:t xml:space="preserve">ThreatSignal, DefectionSignal, confidence scoring, and known-threat memory.</w:t>
            </w:r>
          </w:p>
        </w:tc>
      </w:tr>
      <w:tr>
        <w:tc>
          <w:tcPr/>
          <w:p>
            <w:pPr>
              <w:pStyle w:val="Compact"/>
            </w:pPr>
            <w:r>
              <w:t xml:space="preserve">Phase 4</w:t>
            </w:r>
          </w:p>
        </w:tc>
        <w:tc>
          <w:tcPr/>
          <w:p>
            <w:pPr>
              <w:pStyle w:val="Compact"/>
            </w:pPr>
            <w:r>
              <w:t xml:space="preserve">Month 7 to Month 8</w:t>
            </w:r>
          </w:p>
        </w:tc>
        <w:tc>
          <w:tcPr/>
          <w:p>
            <w:pPr>
              <w:pStyle w:val="Compact"/>
            </w:pPr>
            <w:r>
              <w:t xml:space="preserve">Governance response engine</w:t>
            </w:r>
          </w:p>
        </w:tc>
        <w:tc>
          <w:tcPr/>
          <w:p>
            <w:pPr>
              <w:pStyle w:val="Compact"/>
            </w:pPr>
            <w:r>
              <w:t xml:space="preserve">Observe, throttle, block, quarantine, escalation, trust reduction, and audit records.</w:t>
            </w:r>
          </w:p>
        </w:tc>
      </w:tr>
      <w:tr>
        <w:tc>
          <w:tcPr/>
          <w:p>
            <w:pPr>
              <w:pStyle w:val="Compact"/>
            </w:pPr>
            <w:r>
              <w:t xml:space="preserve">Phase 5</w:t>
            </w:r>
          </w:p>
        </w:tc>
        <w:tc>
          <w:tcPr/>
          <w:p>
            <w:pPr>
              <w:pStyle w:val="Compact"/>
            </w:pPr>
            <w:r>
              <w:t xml:space="preserve">Month 9</w:t>
            </w:r>
          </w:p>
        </w:tc>
        <w:tc>
          <w:tcPr/>
          <w:p>
            <w:pPr>
              <w:pStyle w:val="Compact"/>
            </w:pPr>
            <w:r>
              <w:t xml:space="preserve">Dashboard and replay</w:t>
            </w:r>
          </w:p>
        </w:tc>
        <w:tc>
          <w:tcPr/>
          <w:p>
            <w:pPr>
              <w:pStyle w:val="Compact"/>
            </w:pPr>
            <w:r>
              <w:t xml:space="preserve">Reviewer UI showing event-to-action chain and replayable scenarios.</w:t>
            </w:r>
          </w:p>
        </w:tc>
      </w:tr>
      <w:tr>
        <w:tc>
          <w:tcPr/>
          <w:p>
            <w:pPr>
              <w:pStyle w:val="Compact"/>
            </w:pPr>
            <w:r>
              <w:t xml:space="preserve">Phase 6</w:t>
            </w:r>
          </w:p>
        </w:tc>
        <w:tc>
          <w:tcPr/>
          <w:p>
            <w:pPr>
              <w:pStyle w:val="Compact"/>
            </w:pPr>
            <w:r>
              <w:t xml:space="preserve">Month 10</w:t>
            </w:r>
          </w:p>
        </w:tc>
        <w:tc>
          <w:tcPr/>
          <w:p>
            <w:pPr>
              <w:pStyle w:val="Compact"/>
            </w:pPr>
            <w:r>
              <w:t xml:space="preserve">Adversarial simulation</w:t>
            </w:r>
          </w:p>
        </w:tc>
        <w:tc>
          <w:tcPr/>
          <w:p>
            <w:pPr>
              <w:pStyle w:val="Compact"/>
            </w:pPr>
            <w:r>
              <w:t xml:space="preserve">False-positive, evasion, collusion, service-disruption, and recovery scenarios.</w:t>
            </w:r>
          </w:p>
        </w:tc>
      </w:tr>
      <w:tr>
        <w:tc>
          <w:tcPr/>
          <w:p>
            <w:pPr>
              <w:pStyle w:val="Compact"/>
            </w:pPr>
            <w:r>
              <w:t xml:space="preserve">Phase 7</w:t>
            </w:r>
          </w:p>
        </w:tc>
        <w:tc>
          <w:tcPr/>
          <w:p>
            <w:pPr>
              <w:pStyle w:val="Compact"/>
            </w:pPr>
            <w:r>
              <w:t xml:space="preserve">Month 11</w:t>
            </w:r>
          </w:p>
        </w:tc>
        <w:tc>
          <w:tcPr/>
          <w:p>
            <w:pPr>
              <w:pStyle w:val="Compact"/>
            </w:pPr>
            <w:r>
              <w:t xml:space="preserve">Evaluator packaging</w:t>
            </w:r>
          </w:p>
        </w:tc>
        <w:tc>
          <w:tcPr/>
          <w:p>
            <w:pPr>
              <w:pStyle w:val="Compact"/>
            </w:pPr>
            <w:r>
              <w:t xml:space="preserve">Runbooks, sample datasets, source maps, artifact maps, and validation report.</w:t>
            </w:r>
          </w:p>
        </w:tc>
      </w:tr>
      <w:tr>
        <w:tc>
          <w:tcPr/>
          <w:p>
            <w:pPr>
              <w:pStyle w:val="Compact"/>
            </w:pPr>
            <w:r>
              <w:t xml:space="preserve">Phase 8</w:t>
            </w:r>
          </w:p>
        </w:tc>
        <w:tc>
          <w:tcPr/>
          <w:p>
            <w:pPr>
              <w:pStyle w:val="Compact"/>
            </w:pPr>
            <w:r>
              <w:t xml:space="preserve">Month 12</w:t>
            </w:r>
          </w:p>
        </w:tc>
        <w:tc>
          <w:tcPr/>
          <w:p>
            <w:pPr>
              <w:pStyle w:val="Compact"/>
            </w:pPr>
            <w:r>
              <w:t xml:space="preserve">Final demonstration</w:t>
            </w:r>
          </w:p>
        </w:tc>
        <w:tc>
          <w:tcPr/>
          <w:p>
            <w:pPr>
              <w:pStyle w:val="Compact"/>
            </w:pPr>
            <w:r>
              <w:t xml:space="preserve">iDEX demo package, test evidence, and operational hardening roadmap.</w:t>
            </w:r>
          </w:p>
        </w:tc>
      </w:tr>
    </w:tbl>
    <w:bookmarkEnd w:id="25"/>
    <w:bookmarkStart w:id="26" w:name="e.-readiness-position"/>
    <w:p>
      <w:pPr>
        <w:pStyle w:val="Heading2"/>
      </w:pPr>
      <w:r>
        <w:t xml:space="preserve">9. E. Readiness Position</w:t>
      </w:r>
    </w:p>
    <w:p>
      <w:pPr>
        <w:pStyle w:val="FirstParagraph"/>
      </w:pPr>
      <w:r>
        <w:t xml:space="preserve">Fresh evidence includes the governance-immune bridge script reporting 19/19 checks passed, immune pytest suites reporting 54 passed, and a multi-agent governance simulation completing successfully.</w:t>
      </w:r>
    </w:p>
    <w:p>
      <w:pPr>
        <w:pStyle w:val="BodyText"/>
      </w:pPr>
      <w:r>
        <w:t xml:space="preserve">Submission boundary: software-subsystem prototype only. Live SOC integration, endpoint quarantine, classified network deployment, regulatory cyber response authority, and production accreditation remain proposed iDEX work packages.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2026-05-17T16:02:25Z</dcterms:created>
  <dcterms:modified xsi:type="dcterms:W3CDTF">2026-05-17T16:02:25Z</dcterms:modified>
</cp:coreProperties>
</file>

<file path=docProps/custom.xml><?xml version="1.0" encoding="utf-8"?>
<Properties xmlns="http://schemas.openxmlformats.org/officeDocument/2006/custom-properties" xmlns:vt="http://schemas.openxmlformats.org/officeDocument/2006/docPropsVTypes"/>
</file>