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dex-open-challenge-submission"/>
    <w:p>
      <w:pPr>
        <w:pStyle w:val="Heading1"/>
      </w:pPr>
      <w:r>
        <w:t xml:space="preserve">IDEX OPEN CHALLENGE SUBMISSION</w:t>
      </w:r>
    </w:p>
    <w:bookmarkEnd w:id="9"/>
    <w:bookmarkStart w:id="10" w:name="annexure-3"/>
    <w:p>
      <w:pPr>
        <w:pStyle w:val="Heading1"/>
      </w:pPr>
      <w:r>
        <w:t xml:space="preserve">Annexure-3</w:t>
      </w:r>
    </w:p>
    <w:p>
      <w:pPr>
        <w:pStyle w:val="FirstParagraph"/>
      </w:pPr>
      <w:r>
        <w:t xml:space="preserve">Advantages, competencies, and benefits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End w:id="10"/>
    <w:bookmarkStart w:id="17" w:name="advantages-and-competencies"/>
    <w:p>
      <w:pPr>
        <w:pStyle w:val="Heading1"/>
      </w:pPr>
      <w:r>
        <w:t xml:space="preserve">Advantages and Competencies</w:t>
      </w:r>
    </w:p>
    <w:bookmarkStart w:id="11" w:name="defence-benefits"/>
    <w:p>
      <w:pPr>
        <w:pStyle w:val="Heading2"/>
      </w:pPr>
      <w:r>
        <w:t xml:space="preserve">1. Defence Benefits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Defence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Policy-bounded response</w:t>
            </w:r>
          </w:p>
        </w:tc>
        <w:tc>
          <w:tcPr/>
          <w:p>
            <w:pPr>
              <w:pStyle w:val="Compact"/>
            </w:pPr>
            <w:r>
              <w:t xml:space="preserve">Automated cyber response is routed through explicit action classes rather than open-ended behavior.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containment simulation</w:t>
            </w:r>
          </w:p>
        </w:tc>
        <w:tc>
          <w:tcPr/>
          <w:p>
            <w:pPr>
              <w:pStyle w:val="Compact"/>
            </w:pPr>
            <w:r>
              <w:t xml:space="preserve">LOW, MEDIUM, HIGH, and CRITICAL events are mapped into monitor, throttle, block, quarantine, or escalation.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compromise handling</w:t>
            </w:r>
          </w:p>
        </w:tc>
        <w:tc>
          <w:tcPr/>
          <w:p>
            <w:pPr>
              <w:pStyle w:val="Compact"/>
            </w:pPr>
            <w:r>
              <w:t xml:space="preserve">DefectionSignal supports coordinated compromise and collusion scenarios.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reduction</w:t>
            </w:r>
          </w:p>
        </w:tc>
        <w:tc>
          <w:tcPr/>
          <w:p>
            <w:pPr>
              <w:pStyle w:val="Compact"/>
            </w:pPr>
            <w:r>
              <w:t xml:space="preserve">Involved agents or services can receive trust penalties after defection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memory</w:t>
            </w:r>
          </w:p>
        </w:tc>
        <w:tc>
          <w:tcPr/>
          <w:p>
            <w:pPr>
              <w:pStyle w:val="Compact"/>
            </w:pPr>
            <w:r>
              <w:t xml:space="preserve">Known threat vectors can be stored and matched in later scans.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Reviewable action trail</w:t>
            </w:r>
          </w:p>
        </w:tc>
        <w:tc>
          <w:tcPr/>
          <w:p>
            <w:pPr>
              <w:pStyle w:val="Compact"/>
            </w:pPr>
            <w:r>
              <w:t xml:space="preserve">Status and evidence can be replayed for evaluator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 deployment path</w:t>
            </w:r>
          </w:p>
        </w:tc>
        <w:tc>
          <w:tcPr/>
          <w:p>
            <w:pPr>
              <w:pStyle w:val="Compact"/>
            </w:pPr>
            <w:r>
              <w:t xml:space="preserve">Prototype starts in simulation and does not claim live SOC authority.</w:t>
            </w:r>
          </w:p>
        </w:tc>
      </w:tr>
    </w:tbl>
    <w:bookmarkEnd w:id="11"/>
    <w:bookmarkStart w:id="12" w:name="technical-advantages"/>
    <w:p>
      <w:pPr>
        <w:pStyle w:val="Heading2"/>
      </w:pPr>
      <w:r>
        <w:t xml:space="preserve">2. Technical Advantages</w:t>
      </w:r>
    </w:p>
    <w:p>
      <w:pPr>
        <w:pStyle w:val="FirstParagraph"/>
      </w:pPr>
      <w:r>
        <w:t xml:space="preserve">Cyber Immune SOAR is strongest as governed cyber response infrastructure, not as a generic alert dashboard. It focuses on the defence question: if a cyber event is detected, what action is allowed, what evidence supports it, how is trust affected, and how can a reviewer verify the decision later.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Technical Advantage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bridge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test_immune_bridge.py</w:t>
            </w:r>
            <w:r>
              <w:t xml:space="preserve"> </w:t>
            </w:r>
            <w:r>
              <w:t xml:space="preserve">reports 19 passed, 0 failed.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Immune system tests exist</w:t>
            </w:r>
          </w:p>
        </w:tc>
        <w:tc>
          <w:tcPr/>
          <w:p>
            <w:pPr>
              <w:pStyle w:val="Compact"/>
            </w:pPr>
            <w:r>
              <w:t xml:space="preserve">Pytest immune suites report 54 passed.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governance simulation exists</w:t>
            </w:r>
          </w:p>
        </w:tc>
        <w:tc>
          <w:tcPr/>
          <w:p>
            <w:pPr>
              <w:pStyle w:val="Compact"/>
            </w:pPr>
            <w:r>
              <w:t xml:space="preserve">12-agent simulation completes successfully and ranks high-risk actor 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classes are explicit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governance_bridge.py</w:t>
            </w:r>
            <w:r>
              <w:t xml:space="preserve"> </w:t>
            </w:r>
            <w:r>
              <w:t xml:space="preserve">maps levels to monitor, throttle, block, quarantine, and escalation.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 traceability</w:t>
            </w:r>
          </w:p>
        </w:tc>
        <w:tc>
          <w:tcPr/>
          <w:p>
            <w:pPr>
              <w:pStyle w:val="Compact"/>
            </w:pPr>
            <w:r>
              <w:t xml:space="preserve">Annexure 4 includes screenshots, source paths, output logs, and artifact maps.</w:t>
            </w:r>
          </w:p>
        </w:tc>
      </w:tr>
    </w:tbl>
    <w:bookmarkEnd w:id="12"/>
    <w:bookmarkStart w:id="13" w:name="product-and-commercial-potential"/>
    <w:p>
      <w:pPr>
        <w:pStyle w:val="Heading2"/>
      </w:pPr>
      <w:r>
        <w:t xml:space="preserve">3. Product and Commercial Potential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Market Segment</w:t>
            </w:r>
          </w:p>
        </w:tc>
        <w:tc>
          <w:tcPr/>
          <w:p>
            <w:pPr>
              <w:pStyle w:val="Compact"/>
            </w:pPr>
            <w:r>
              <w:t xml:space="preserve">Potential Productization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Defence SOC teams</w:t>
            </w:r>
          </w:p>
        </w:tc>
        <w:tc>
          <w:tcPr/>
          <w:p>
            <w:pPr>
              <w:pStyle w:val="Compact"/>
            </w:pPr>
            <w:r>
              <w:t xml:space="preserve">Simulation-first governed response engine for cyber incident triage and containment.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Autonomous-system security</w:t>
            </w:r>
          </w:p>
        </w:tc>
        <w:tc>
          <w:tcPr/>
          <w:p>
            <w:pPr>
              <w:pStyle w:val="Compact"/>
            </w:pPr>
            <w:r>
              <w:t xml:space="preserve">Monitor robotic software agents and mission services for compromised behavior.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infrastructure</w:t>
            </w:r>
          </w:p>
        </w:tc>
        <w:tc>
          <w:tcPr/>
          <w:p>
            <w:pPr>
              <w:pStyle w:val="Compact"/>
            </w:pPr>
            <w:r>
              <w:t xml:space="preserve">Dual-use containment and audit layer for industrial systems where automated response must be bounded.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Cyber ranges</w:t>
            </w:r>
          </w:p>
        </w:tc>
        <w:tc>
          <w:tcPr/>
          <w:p>
            <w:pPr>
              <w:pStyle w:val="Compact"/>
            </w:pPr>
            <w:r>
              <w:t xml:space="preserve">Scenario engine for testing collusion, quarantine, trust reduction, and escalation workflows.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AI operations</w:t>
            </w:r>
          </w:p>
        </w:tc>
        <w:tc>
          <w:tcPr/>
          <w:p>
            <w:pPr>
              <w:pStyle w:val="Compact"/>
            </w:pPr>
            <w:r>
              <w:t xml:space="preserve">Governed response layer for AI agents, model services, and automated workflows.</w:t>
            </w:r>
          </w:p>
        </w:tc>
      </w:tr>
    </w:tbl>
    <w:bookmarkEnd w:id="13"/>
    <w:bookmarkStart w:id="14" w:name="team-competencies"/>
    <w:p>
      <w:pPr>
        <w:pStyle w:val="Heading2"/>
      </w:pPr>
      <w:r>
        <w:t xml:space="preserve">4. Team Competencies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Competency</w:t>
            </w:r>
          </w:p>
        </w:tc>
        <w:tc>
          <w:tcPr/>
          <w:p>
            <w:pPr>
              <w:pStyle w:val="Compact"/>
            </w:pPr>
            <w:r>
              <w:t xml:space="preserve">Repository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Immune-style threat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agp-core/src/immunity/immune_system.py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unified.py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response 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agp-core/src/immunity/governance_bridge.py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and behavior scoring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agp-core/src/governance/anomaly.py</w:t>
            </w:r>
            <w:r>
              <w:t xml:space="preserve"> </w:t>
            </w:r>
            <w:r>
              <w:t xml:space="preserve">and governance simulation.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test simulation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agp-core/tests/test_multi_agent_governance.py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packaging</w:t>
            </w:r>
          </w:p>
        </w:tc>
        <w:tc>
          <w:tcPr/>
          <w:p>
            <w:pPr>
              <w:pStyle w:val="Compact"/>
            </w:pPr>
            <w:r>
              <w:t xml:space="preserve">Annexure 4 includes source screenshots, test output, repo links, and artifact maps.</w:t>
            </w:r>
          </w:p>
        </w:tc>
      </w:tr>
    </w:tbl>
    <w:bookmarkEnd w:id="14"/>
    <w:bookmarkStart w:id="15" w:name="why-idex-support-is-required"/>
    <w:p>
      <w:pPr>
        <w:pStyle w:val="Heading2"/>
      </w:pPr>
      <w:r>
        <w:t xml:space="preserve">5. Why iDEX Support Is Required</w:t>
      </w:r>
    </w:p>
    <w:p>
      <w:pPr>
        <w:pStyle w:val="FirstParagraph"/>
      </w:pPr>
      <w:r>
        <w:t xml:space="preserve">The remaining work is productization and defence validation: cyber event adapters, scenario library, false-positive tuning, dashboard, persistent audit store, signed audit records, evaluator datasets, red-team simulations, and controlled integration with SIEM/SOAR or cyber range environments.</w:t>
      </w:r>
    </w:p>
    <w:bookmarkEnd w:id="15"/>
    <w:bookmarkStart w:id="16" w:name="readiness-caveat"/>
    <w:p>
      <w:pPr>
        <w:pStyle w:val="Heading2"/>
      </w:pPr>
      <w:r>
        <w:t xml:space="preserve">6. Readiness Caveat</w:t>
      </w:r>
    </w:p>
    <w:p>
      <w:pPr>
        <w:pStyle w:val="FirstParagraph"/>
      </w:pPr>
      <w:r>
        <w:t xml:space="preserve">The current package should be evaluated as a software-subsystem prototype. It does not claim live SOC deployment, endpoint control authority, classified network integration, or operational cyber response certification. Those are proposed milestones under the 12-month iDEX work plan.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2026-05-17T16:02:25Z</dcterms:created>
  <dcterms:modified xsi:type="dcterms:W3CDTF">2026-05-17T16:02:25Z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