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5" w:name="annexure-outline"/>
    <w:p>
      <w:pPr>
        <w:pStyle w:val="Heading1"/>
      </w:pPr>
      <w:r>
        <w:t xml:space="preserve">Annexure Outline</w:t>
      </w:r>
    </w:p>
    <w:p>
      <w:pPr>
        <w:pStyle w:val="FirstParagraph"/>
      </w:pPr>
      <w:r>
        <w:t xml:space="preserve">Company identification and section outline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Start w:id="10" w:name="company-identification"/>
    <w:p>
      <w:pPr>
        <w:pStyle w:val="Heading2"/>
      </w:pPr>
      <w:r>
        <w:t xml:space="preserve">Company Identification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0"/>
    <w:bookmarkStart w:id="11" w:name="annexure-1-outline"/>
    <w:p>
      <w:pPr>
        <w:pStyle w:val="Heading2"/>
      </w:pPr>
      <w:r>
        <w:t xml:space="preserve">Annexure-1 Outline</w:t>
      </w:r>
    </w:p>
    <w:p>
      <w:pPr>
        <w:pStyle w:val="FirstParagraph"/>
      </w:pPr>
      <w:r>
        <w:t xml:space="preserve">Purpose: applicant details and proposed solution summary for the iDEX Open Challenge.</w:t>
      </w:r>
    </w:p>
    <w:p>
      <w:pPr>
        <w:pStyle w:val="BodyText"/>
      </w:pPr>
      <w:r>
        <w:t xml:space="preserve">Contents:</w:t>
      </w:r>
    </w:p>
    <w:p>
      <w:pPr>
        <w:pStyle w:val="Compact"/>
        <w:numPr>
          <w:ilvl w:val="0"/>
          <w:numId w:val="1001"/>
        </w:numPr>
      </w:pPr>
      <w:r>
        <w:t xml:space="preserve">Company and applicant details.</w:t>
      </w:r>
    </w:p>
    <w:p>
      <w:pPr>
        <w:pStyle w:val="Compact"/>
        <w:numPr>
          <w:ilvl w:val="0"/>
          <w:numId w:val="1001"/>
        </w:numPr>
      </w:pPr>
      <w:r>
        <w:t xml:space="preserve">Challenge title.</w:t>
      </w:r>
    </w:p>
    <w:p>
      <w:pPr>
        <w:pStyle w:val="Compact"/>
        <w:numPr>
          <w:ilvl w:val="0"/>
          <w:numId w:val="1001"/>
        </w:numPr>
      </w:pPr>
      <w:r>
        <w:t xml:space="preserve">Intended defence end-user profile.</w:t>
      </w:r>
    </w:p>
    <w:p>
      <w:pPr>
        <w:pStyle w:val="Compact"/>
        <w:numPr>
          <w:ilvl w:val="0"/>
          <w:numId w:val="1001"/>
        </w:numPr>
      </w:pPr>
      <w:r>
        <w:t xml:space="preserve">Brief solution summary under 250 words.</w:t>
      </w:r>
    </w:p>
    <w:p>
      <w:pPr>
        <w:pStyle w:val="Compact"/>
        <w:numPr>
          <w:ilvl w:val="0"/>
          <w:numId w:val="1001"/>
        </w:numPr>
      </w:pPr>
      <w:r>
        <w:t xml:space="preserve">Key technologies used.</w:t>
      </w:r>
    </w:p>
    <w:p>
      <w:pPr>
        <w:pStyle w:val="Compact"/>
        <w:numPr>
          <w:ilvl w:val="0"/>
          <w:numId w:val="1001"/>
        </w:numPr>
      </w:pPr>
      <w:r>
        <w:t xml:space="preserve">Deliverables table.</w:t>
      </w:r>
    </w:p>
    <w:p>
      <w:pPr>
        <w:pStyle w:val="Compact"/>
        <w:numPr>
          <w:ilvl w:val="0"/>
          <w:numId w:val="1001"/>
        </w:numPr>
      </w:pPr>
      <w:r>
        <w:t xml:space="preserve">Phase-wise 12-month timeline.</w:t>
      </w:r>
    </w:p>
    <w:bookmarkEnd w:id="11"/>
    <w:bookmarkStart w:id="12" w:name="annexure-2-outline"/>
    <w:p>
      <w:pPr>
        <w:pStyle w:val="Heading2"/>
      </w:pPr>
      <w:r>
        <w:t xml:space="preserve">Annexure-2 Outline</w:t>
      </w:r>
    </w:p>
    <w:p>
      <w:pPr>
        <w:pStyle w:val="FirstParagraph"/>
      </w:pPr>
      <w:r>
        <w:t xml:space="preserve">Purpose: technical architecture and implementation approach for PQC Defence Identity.</w:t>
      </w:r>
    </w:p>
    <w:p>
      <w:pPr>
        <w:pStyle w:val="BodyText"/>
      </w:pPr>
      <w:r>
        <w:t xml:space="preserve">Contents:</w:t>
      </w:r>
    </w:p>
    <w:p>
      <w:pPr>
        <w:pStyle w:val="Compact"/>
        <w:numPr>
          <w:ilvl w:val="0"/>
          <w:numId w:val="1002"/>
        </w:numPr>
      </w:pPr>
      <w:r>
        <w:t xml:space="preserve">Hybrid Ed25519 plus ML-DSA signature envelope.</w:t>
      </w:r>
    </w:p>
    <w:p>
      <w:pPr>
        <w:pStyle w:val="Compact"/>
        <w:numPr>
          <w:ilvl w:val="0"/>
          <w:numId w:val="1002"/>
        </w:numPr>
      </w:pPr>
      <w:r>
        <w:t xml:space="preserve">Feature-gated PQC implementation status.</w:t>
      </w:r>
    </w:p>
    <w:p>
      <w:pPr>
        <w:pStyle w:val="Compact"/>
        <w:numPr>
          <w:ilvl w:val="0"/>
          <w:numId w:val="1002"/>
        </w:numPr>
      </w:pPr>
      <w:r>
        <w:t xml:space="preserve">Public-key bundle and verification policy.</w:t>
      </w:r>
    </w:p>
    <w:p>
      <w:pPr>
        <w:pStyle w:val="Compact"/>
        <w:numPr>
          <w:ilvl w:val="0"/>
          <w:numId w:val="1002"/>
        </w:numPr>
      </w:pPr>
      <w:r>
        <w:t xml:space="preserve">PCU identity, delegation, and proof integration path.</w:t>
      </w:r>
    </w:p>
    <w:p>
      <w:pPr>
        <w:pStyle w:val="Compact"/>
        <w:numPr>
          <w:ilvl w:val="0"/>
          <w:numId w:val="1002"/>
        </w:numPr>
      </w:pPr>
      <w:r>
        <w:t xml:space="preserve">Test evidence and readiness caveats.</w:t>
      </w:r>
    </w:p>
    <w:bookmarkEnd w:id="12"/>
    <w:bookmarkStart w:id="13" w:name="annexure-3-outline"/>
    <w:p>
      <w:pPr>
        <w:pStyle w:val="Heading2"/>
      </w:pPr>
      <w:r>
        <w:t xml:space="preserve">Annexure-3 Outline</w:t>
      </w:r>
    </w:p>
    <w:p>
      <w:pPr>
        <w:pStyle w:val="FirstParagraph"/>
      </w:pPr>
      <w:r>
        <w:t xml:space="preserve">Purpose: advantages, product value, commercial value, and competencies.</w:t>
      </w:r>
    </w:p>
    <w:bookmarkEnd w:id="13"/>
    <w:bookmarkStart w:id="14" w:name="annexure-4-outline"/>
    <w:p>
      <w:pPr>
        <w:pStyle w:val="Heading2"/>
      </w:pPr>
      <w:r>
        <w:t xml:space="preserve">Annexure-4 Outline</w:t>
      </w:r>
    </w:p>
    <w:p>
      <w:pPr>
        <w:pStyle w:val="FirstParagraph"/>
      </w:pPr>
      <w:r>
        <w:t xml:space="preserve">Purpose: supporting evidence, screenshots, test output, repository locations, artifact locations, and readiness caveats.</w:t>
      </w:r>
    </w:p>
    <w:bookmarkEnd w:id="14"/>
    <w:bookmarkEnd w:id="15"/>
    <w:bookmarkStart w:id="16" w:name="annexure-1"/>
    <w:p>
      <w:pPr>
        <w:pStyle w:val="Heading1"/>
      </w:pPr>
      <w:r>
        <w:t xml:space="preserve">Annexure-1</w:t>
      </w:r>
    </w:p>
    <w:p>
      <w:pPr>
        <w:pStyle w:val="FirstParagraph"/>
      </w:pPr>
      <w:r>
        <w:t xml:space="preserve">Application and proposed solution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6"/>
    <w:bookmarkStart w:id="27" w:name="X5586dfcd4683f2590afeea6a79b1f902d3bb710"/>
    <w:p>
      <w:pPr>
        <w:pStyle w:val="Heading1"/>
      </w:pPr>
      <w:r>
        <w:t xml:space="preserve">Applicant Details and Proposed Solution Summary</w:t>
      </w:r>
    </w:p>
    <w:bookmarkStart w:id="17" w:name="company-identification-details"/>
    <w:p>
      <w:pPr>
        <w:pStyle w:val="Heading2"/>
      </w:pPr>
      <w:r>
        <w:t xml:space="preserve">Company Identification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7"/>
    <w:bookmarkStart w:id="18" w:name="applicant-details"/>
    <w:p>
      <w:pPr>
        <w:pStyle w:val="Heading2"/>
      </w:pPr>
      <w:r>
        <w:t xml:space="preserve">1. Applicant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Applicant Startup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/ Platform Name</w:t>
            </w:r>
          </w:p>
        </w:tc>
        <w:tc>
          <w:tcPr/>
          <w:p>
            <w:pPr>
              <w:pStyle w:val="Compact"/>
            </w:pPr>
            <w:r>
              <w:t xml:space="preserve">PQC Defence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Intended Defence End User</w:t>
            </w:r>
          </w:p>
        </w:tc>
        <w:tc>
          <w:tcPr/>
          <w:p>
            <w:pPr>
              <w:pStyle w:val="Compact"/>
            </w:pPr>
            <w:r>
              <w:t xml:space="preserve">Indian Armed Forces technology teams, DRDO cryptographic-transition evaluators, secure device identity teams, autonomous-system identity teams, command-and-control assurance teams, and defence integrators planning post-quantum migration.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Applicant Name</w:t>
            </w:r>
          </w:p>
        </w:tc>
        <w:tc>
          <w:tcPr/>
          <w:p>
            <w:pPr>
              <w:pStyle w:val="Compact"/>
            </w:pPr>
            <w:r>
              <w:t xml:space="preserve">K. Naga Sri Ganesh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Number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 Address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 / Incorporation Number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DPIIT, Certificate No.</w:t>
            </w:r>
          </w:p>
        </w:tc>
        <w:tc>
          <w:tcPr/>
          <w:p>
            <w:pPr>
              <w:pStyle w:val="Compact"/>
            </w:pPr>
            <w:r>
              <w:t xml:space="preserve">DIPP215355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 Project Duration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8"/>
    <w:bookmarkStart w:id="19" w:name="final-challenge-title"/>
    <w:p>
      <w:pPr>
        <w:pStyle w:val="Heading2"/>
      </w:pPr>
      <w:r>
        <w:t xml:space="preserve">2. Final Challenge Title</w:t>
      </w:r>
    </w:p>
    <w:p>
      <w:pPr>
        <w:pStyle w:val="FirstParagraph"/>
      </w:pPr>
      <w:r>
        <w:t xml:space="preserve">PQC Defence Identity: Hybrid Classical and Post-Quantum Signing for Defence Agents, Devices, and Proof Packets</w:t>
      </w:r>
    </w:p>
    <w:bookmarkEnd w:id="19"/>
    <w:bookmarkStart w:id="20" w:name="intended-defence-end-users"/>
    <w:p>
      <w:pPr>
        <w:pStyle w:val="Heading2"/>
      </w:pPr>
      <w:r>
        <w:t xml:space="preserve">3. Intended Defence End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End-User Group</w:t>
            </w:r>
          </w:p>
        </w:tc>
        <w:tc>
          <w:tcPr/>
          <w:p>
            <w:pPr>
              <w:pStyle w:val="Compact"/>
            </w:pPr>
            <w:r>
              <w:t xml:space="preserve">Operational Need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identity teams</w:t>
            </w:r>
          </w:p>
        </w:tc>
        <w:tc>
          <w:tcPr/>
          <w:p>
            <w:pPr>
              <w:pStyle w:val="Compact"/>
            </w:pPr>
            <w:r>
              <w:t xml:space="preserve">Plan migration from classical-only signing to hybrid identity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DRDO cryptographic-transition evaluators</w:t>
            </w:r>
          </w:p>
        </w:tc>
        <w:tc>
          <w:tcPr/>
          <w:p>
            <w:pPr>
              <w:pStyle w:val="Compact"/>
            </w:pPr>
            <w:r>
              <w:t xml:space="preserve">Inspect implementation evidence for Ed25519 plus ML-DSA feature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Autonomous-system assurance teams</w:t>
            </w:r>
          </w:p>
        </w:tc>
        <w:tc>
          <w:tcPr/>
          <w:p>
            <w:pPr>
              <w:pStyle w:val="Compact"/>
            </w:pPr>
            <w:r>
              <w:t xml:space="preserve">Bind agent/device identity to computation and execution proof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information teams</w:t>
            </w:r>
          </w:p>
        </w:tc>
        <w:tc>
          <w:tcPr/>
          <w:p>
            <w:pPr>
              <w:pStyle w:val="Compact"/>
            </w:pPr>
            <w:r>
              <w:t xml:space="preserve">Prepare packet and proof verification for long-life systems.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system integrators</w:t>
            </w:r>
          </w:p>
        </w:tc>
        <w:tc>
          <w:tcPr/>
          <w:p>
            <w:pPr>
              <w:pStyle w:val="Compact"/>
            </w:pPr>
            <w:r>
              <w:t xml:space="preserve">Evaluate public-key bundle, fallback policy, and audit behavior before deployment.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 and audit panels</w:t>
            </w:r>
          </w:p>
        </w:tc>
        <w:tc>
          <w:tcPr/>
          <w:p>
            <w:pPr>
              <w:pStyle w:val="Compact"/>
            </w:pPr>
            <w:r>
              <w:t xml:space="preserve">Review test output, source paths, feature gates, and hardening caveats.</w:t>
            </w:r>
          </w:p>
        </w:tc>
      </w:tr>
    </w:tbl>
    <w:bookmarkEnd w:id="20"/>
    <w:bookmarkStart w:id="21" w:name="a.-brief-summary-of-proposed-solution"/>
    <w:p>
      <w:pPr>
        <w:pStyle w:val="Heading2"/>
      </w:pPr>
      <w:r>
        <w:t xml:space="preserve">4. A. Brief Summary of Proposed Solution</w:t>
      </w:r>
    </w:p>
    <w:p>
      <w:pPr>
        <w:pStyle w:val="FirstParagraph"/>
      </w:pPr>
      <w:r>
        <w:t xml:space="preserve">Defence systems are entering a transition period where classical digital signatures remain necessary for interoperability, while long-life systems must prepare for post-quantum cryptographic risk. Autonomous agents, sensors, robotic devices, proof packets, and secure information flows need identity and signing mechanisms that can migrate without breaking existing verification paths.</w:t>
      </w:r>
    </w:p>
    <w:p>
      <w:pPr>
        <w:pStyle w:val="BodyText"/>
      </w:pPr>
      <w:r>
        <w:t xml:space="preserve">PQC Defence Identity proposes a hybrid identity and signing prototype for defence software agents, edge devices, and proof-carrying computation records. It combines current Ed25519 verification with a feature-gated ML-DSA-65 post-quantum verification path inside the NEXUS Portable Computation Unit layer. The objective is not to claim cryptographic accreditation in phase one. The objective is to demonstrate a practical hybrid signing envelope, public-key bundle, tamper/fallback behavior, key metadata handling, and audit evidence that can support a future approved cryptographic profile.</w:t>
      </w:r>
    </w:p>
    <w:p>
      <w:pPr>
        <w:pStyle w:val="BodyText"/>
      </w:pPr>
      <w:r>
        <w:t xml:space="preserve">The iDEX prototype will demonstrate hybrid key generation, hybrid signatures, classical verification, ML-DSA verification under the</w:t>
      </w:r>
      <w:r>
        <w:t xml:space="preserve"> </w:t>
      </w:r>
      <w:r>
        <w:rPr>
          <w:rStyle w:val="VerbatimChar"/>
        </w:rPr>
        <w:t xml:space="preserve">pqc</w:t>
      </w:r>
      <w:r>
        <w:t xml:space="preserve"> </w:t>
      </w:r>
      <w:r>
        <w:t xml:space="preserve">feature, public-key bundle verification, tamper rejection when both signature components are invalid, and integration planning for PCU identity and execution proof records.</w:t>
      </w:r>
    </w:p>
    <w:p>
      <w:pPr>
        <w:pStyle w:val="BodyText"/>
      </w:pPr>
      <w:r>
        <w:t xml:space="preserve">Current evidence is software-subsystem TRL 3-4. Network-wide PQC enforcement, HSM-backed key lifecycle, certified cryptographic profile approval, and operational deployment are proposed work packages.</w:t>
      </w:r>
    </w:p>
    <w:bookmarkEnd w:id="21"/>
    <w:bookmarkStart w:id="22" w:name="critical-defence-problems-addressed"/>
    <w:p>
      <w:pPr>
        <w:pStyle w:val="Heading2"/>
      </w:pPr>
      <w:r>
        <w:t xml:space="preserve">5. Critical Defence Problems Addressed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Critical Problem</w:t>
            </w:r>
          </w:p>
        </w:tc>
        <w:tc>
          <w:tcPr/>
          <w:p>
            <w:pPr>
              <w:pStyle w:val="Compact"/>
            </w:pPr>
            <w:r>
              <w:t xml:space="preserve">Operational Relevance For Defence Users</w:t>
            </w:r>
          </w:p>
        </w:tc>
        <w:tc>
          <w:tcPr/>
          <w:p>
            <w:pPr>
              <w:pStyle w:val="Compact"/>
            </w:pPr>
            <w:r>
              <w:t xml:space="preserve">Proposed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Classical-only identity risk</w:t>
            </w:r>
          </w:p>
        </w:tc>
        <w:tc>
          <w:tcPr/>
          <w:p>
            <w:pPr>
              <w:pStyle w:val="Compact"/>
            </w:pPr>
            <w:r>
              <w:t xml:space="preserve">Long-life devices may outlive classical signature assumptions.</w:t>
            </w:r>
          </w:p>
        </w:tc>
        <w:tc>
          <w:tcPr/>
          <w:p>
            <w:pPr>
              <w:pStyle w:val="Compact"/>
            </w:pPr>
            <w:r>
              <w:t xml:space="preserve">Hybrid Ed25519 plus ML-DSA signature envelope.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disruption</w:t>
            </w:r>
          </w:p>
        </w:tc>
        <w:tc>
          <w:tcPr/>
          <w:p>
            <w:pPr>
              <w:pStyle w:val="Compact"/>
            </w:pPr>
            <w:r>
              <w:t xml:space="preserve">Sudden cryptographic replacement can break existing systems.</w:t>
            </w:r>
          </w:p>
        </w:tc>
        <w:tc>
          <w:tcPr/>
          <w:p>
            <w:pPr>
              <w:pStyle w:val="Compact"/>
            </w:pPr>
            <w:r>
              <w:t xml:space="preserve">Public-key bundle supports classical and PQC paths.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Tampered signatures</w:t>
            </w:r>
          </w:p>
        </w:tc>
        <w:tc>
          <w:tcPr/>
          <w:p>
            <w:pPr>
              <w:pStyle w:val="Compact"/>
            </w:pPr>
            <w:r>
              <w:t xml:space="preserve">Adversary may alter one signature component.</w:t>
            </w:r>
          </w:p>
        </w:tc>
        <w:tc>
          <w:tcPr/>
          <w:p>
            <w:pPr>
              <w:pStyle w:val="Compact"/>
            </w:pPr>
            <w:r>
              <w:t xml:space="preserve">Tests verify behavior when classical and PQC components are modified.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Unclear verification policy</w:t>
            </w:r>
          </w:p>
        </w:tc>
        <w:tc>
          <w:tcPr/>
          <w:p>
            <w:pPr>
              <w:pStyle w:val="Compact"/>
            </w:pPr>
            <w:r>
              <w:t xml:space="preserve">Different mission systems may require different acceptance rules.</w:t>
            </w:r>
          </w:p>
        </w:tc>
        <w:tc>
          <w:tcPr/>
          <w:p>
            <w:pPr>
              <w:pStyle w:val="Compact"/>
            </w:pPr>
            <w:r>
              <w:t xml:space="preserve">Explicit verifier policy: classical, PQC, hybrid, warning, or migration-required.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proof identity binding</w:t>
            </w:r>
          </w:p>
        </w:tc>
        <w:tc>
          <w:tcPr/>
          <w:p>
            <w:pPr>
              <w:pStyle w:val="Compact"/>
            </w:pPr>
            <w:r>
              <w:t xml:space="preserve">Execution proof must identify the node/device producing it.</w:t>
            </w:r>
          </w:p>
        </w:tc>
        <w:tc>
          <w:tcPr/>
          <w:p>
            <w:pPr>
              <w:pStyle w:val="Compact"/>
            </w:pPr>
            <w:r>
              <w:t xml:space="preserve">PCU NodeAttestation and IdentityContext integration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lifecycle complexity</w:t>
            </w:r>
          </w:p>
        </w:tc>
        <w:tc>
          <w:tcPr/>
          <w:p>
            <w:pPr>
              <w:pStyle w:val="Compact"/>
            </w:pPr>
            <w:r>
              <w:t xml:space="preserve">Provisioning, rotation, revocation, and compromise handling must be defined.</w:t>
            </w:r>
          </w:p>
        </w:tc>
        <w:tc>
          <w:tcPr/>
          <w:p>
            <w:pPr>
              <w:pStyle w:val="Compact"/>
            </w:pPr>
            <w:r>
              <w:t xml:space="preserve">12-month work package for lifecycle and evaluator-approved profile.</w:t>
            </w:r>
          </w:p>
        </w:tc>
      </w:tr>
    </w:tbl>
    <w:bookmarkEnd w:id="22"/>
    <w:bookmarkStart w:id="23" w:name="b.-key-technologies-used"/>
    <w:p>
      <w:pPr>
        <w:pStyle w:val="Heading2"/>
      </w:pPr>
      <w:r>
        <w:t xml:space="preserve">6. B. Key Technologies Used</w:t>
      </w:r>
    </w:p>
    <w:p>
      <w:pPr>
        <w:pStyle w:val="Compact"/>
        <w:numPr>
          <w:ilvl w:val="0"/>
          <w:numId w:val="1003"/>
        </w:numPr>
      </w:pPr>
      <w:r>
        <w:t xml:space="preserve">Ed25519 signatures</w:t>
      </w:r>
    </w:p>
    <w:p>
      <w:pPr>
        <w:pStyle w:val="Compact"/>
        <w:numPr>
          <w:ilvl w:val="0"/>
          <w:numId w:val="1003"/>
        </w:numPr>
      </w:pPr>
      <w:r>
        <w:t xml:space="preserve">ML-DSA-65 feature path</w:t>
      </w:r>
    </w:p>
    <w:p>
      <w:pPr>
        <w:pStyle w:val="Compact"/>
        <w:numPr>
          <w:ilvl w:val="0"/>
          <w:numId w:val="1003"/>
        </w:numPr>
      </w:pPr>
      <w:r>
        <w:t xml:space="preserve">Hybrid signature envelope</w:t>
      </w:r>
    </w:p>
    <w:p>
      <w:pPr>
        <w:pStyle w:val="Compact"/>
        <w:numPr>
          <w:ilvl w:val="0"/>
          <w:numId w:val="1003"/>
        </w:numPr>
      </w:pPr>
      <w:r>
        <w:t xml:space="preserve">Public key bundle</w:t>
      </w:r>
    </w:p>
    <w:p>
      <w:pPr>
        <w:pStyle w:val="Compact"/>
        <w:numPr>
          <w:ilvl w:val="0"/>
          <w:numId w:val="1003"/>
        </w:numPr>
      </w:pPr>
      <w:r>
        <w:t xml:space="preserve">PCU identity context</w:t>
      </w:r>
    </w:p>
    <w:p>
      <w:pPr>
        <w:pStyle w:val="Compact"/>
        <w:numPr>
          <w:ilvl w:val="0"/>
          <w:numId w:val="1003"/>
        </w:numPr>
      </w:pPr>
      <w:r>
        <w:t xml:space="preserve">Execution proof attestation</w:t>
      </w:r>
    </w:p>
    <w:bookmarkEnd w:id="23"/>
    <w:bookmarkStart w:id="24" w:name="c.-deliverables"/>
    <w:p>
      <w:pPr>
        <w:pStyle w:val="Heading2"/>
      </w:pPr>
      <w:r>
        <w:t xml:space="preserve">7. C.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Defence-Oriented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Signing Envelope</w:t>
            </w:r>
          </w:p>
        </w:tc>
        <w:tc>
          <w:tcPr/>
          <w:p>
            <w:pPr>
              <w:pStyle w:val="Compact"/>
            </w:pPr>
            <w:r>
              <w:t xml:space="preserve">Defines payload, classical signature, optional PQC signature, version, and verification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Key Bundle Format</w:t>
            </w:r>
          </w:p>
        </w:tc>
        <w:tc>
          <w:tcPr/>
          <w:p>
            <w:pPr>
              <w:pStyle w:val="Compact"/>
            </w:pPr>
            <w:r>
              <w:t xml:space="preserve">Carries Ed25519 and optional ML-DSA public key material with versioning.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CLI/SDK</w:t>
            </w:r>
          </w:p>
        </w:tc>
        <w:tc>
          <w:tcPr/>
          <w:p>
            <w:pPr>
              <w:pStyle w:val="Compact"/>
            </w:pPr>
            <w:r>
              <w:t xml:space="preserve">Verifies classical, PQC, and hybrid paths under explicit policy classes.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Tamper/Fallback Test Suite</w:t>
            </w:r>
          </w:p>
        </w:tc>
        <w:tc>
          <w:tcPr/>
          <w:p>
            <w:pPr>
              <w:pStyle w:val="Compact"/>
            </w:pPr>
            <w:r>
              <w:t xml:space="preserve">Demonstrates behavior when one or both signature components are modified.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 Identity Adapter</w:t>
            </w:r>
          </w:p>
        </w:tc>
        <w:tc>
          <w:tcPr/>
          <w:p>
            <w:pPr>
              <w:pStyle w:val="Compact"/>
            </w:pPr>
            <w:r>
              <w:t xml:space="preserve">Maps hybrid identity into PCU IdentityContext and execution proof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Lifecycle Plan</w:t>
            </w:r>
          </w:p>
        </w:tc>
        <w:tc>
          <w:tcPr/>
          <w:p>
            <w:pPr>
              <w:pStyle w:val="Compact"/>
            </w:pPr>
            <w:r>
              <w:t xml:space="preserve">Defines provisioning, revocation, rotation, expiry, compromise response, and offline bundle update.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Evidence Exporter</w:t>
            </w:r>
          </w:p>
        </w:tc>
        <w:tc>
          <w:tcPr/>
          <w:p>
            <w:pPr>
              <w:pStyle w:val="Compact"/>
            </w:pPr>
            <w:r>
              <w:t xml:space="preserve">Records verification path, key ID, signature mode, result, and reason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Report</w:t>
            </w:r>
          </w:p>
        </w:tc>
        <w:tc>
          <w:tcPr/>
          <w:p>
            <w:pPr>
              <w:pStyle w:val="Compact"/>
            </w:pPr>
            <w:r>
              <w:t xml:space="preserve">Provides test output, artifact locations, source paths, caveats, and deployment roadmap.</w:t>
            </w:r>
          </w:p>
        </w:tc>
      </w:tr>
    </w:tbl>
    <w:bookmarkEnd w:id="24"/>
    <w:bookmarkStart w:id="25" w:name="d.-proposed-timeline"/>
    <w:p>
      <w:pPr>
        <w:pStyle w:val="Heading2"/>
      </w:pPr>
      <w:r>
        <w:t xml:space="preserve">8. D. Proposed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Month 1 to Month 2</w:t>
            </w:r>
          </w:p>
        </w:tc>
        <w:tc>
          <w:tcPr/>
          <w:p>
            <w:pPr>
              <w:pStyle w:val="Compact"/>
            </w:pPr>
            <w:r>
              <w:t xml:space="preserve">Cryptographic transition threat model</w:t>
            </w:r>
          </w:p>
        </w:tc>
        <w:tc>
          <w:tcPr/>
          <w:p>
            <w:pPr>
              <w:pStyle w:val="Compact"/>
            </w:pPr>
            <w:r>
              <w:t xml:space="preserve">Threat model, acceptance modes, and evaluator-approved assumptions.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Month 3 to Month 4</w:t>
            </w:r>
          </w:p>
        </w:tc>
        <w:tc>
          <w:tcPr/>
          <w:p>
            <w:pPr>
              <w:pStyle w:val="Compact"/>
            </w:pPr>
            <w:r>
              <w:t xml:space="preserve">Hybrid envelope specification</w:t>
            </w:r>
          </w:p>
        </w:tc>
        <w:tc>
          <w:tcPr/>
          <w:p>
            <w:pPr>
              <w:pStyle w:val="Compact"/>
            </w:pPr>
            <w:r>
              <w:t xml:space="preserve">Packet/proof format, versioning, metadata, and public-key bundle schema.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Month 5 to Month 6</w:t>
            </w:r>
          </w:p>
        </w:tc>
        <w:tc>
          <w:tcPr/>
          <w:p>
            <w:pPr>
              <w:pStyle w:val="Compact"/>
            </w:pPr>
            <w:r>
              <w:t xml:space="preserve">Verifier CLI/SDK</w:t>
            </w:r>
          </w:p>
        </w:tc>
        <w:tc>
          <w:tcPr/>
          <w:p>
            <w:pPr>
              <w:pStyle w:val="Compact"/>
            </w:pPr>
            <w:r>
              <w:t xml:space="preserve">Classical, PQC, hybrid, warn, and reject policy paths.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Month 7 to Month 8</w:t>
            </w:r>
          </w:p>
        </w:tc>
        <w:tc>
          <w:tcPr/>
          <w:p>
            <w:pPr>
              <w:pStyle w:val="Compact"/>
            </w:pPr>
            <w:r>
              <w:t xml:space="preserve">PCU identity integration</w:t>
            </w:r>
          </w:p>
        </w:tc>
        <w:tc>
          <w:tcPr/>
          <w:p>
            <w:pPr>
              <w:pStyle w:val="Compact"/>
            </w:pPr>
            <w:r>
              <w:t xml:space="preserve">IdentityContext and ExecutionProof adapters.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Month 9</w:t>
            </w:r>
          </w:p>
        </w:tc>
        <w:tc>
          <w:tcPr/>
          <w:p>
            <w:pPr>
              <w:pStyle w:val="Compact"/>
            </w:pPr>
            <w:r>
              <w:t xml:space="preserve">Key lifecycle design</w:t>
            </w:r>
          </w:p>
        </w:tc>
        <w:tc>
          <w:tcPr/>
          <w:p>
            <w:pPr>
              <w:pStyle w:val="Compact"/>
            </w:pPr>
            <w:r>
              <w:t xml:space="preserve">Provisioning, expiry, rotation, revocation, and offline trust bundle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Month 10</w:t>
            </w:r>
          </w:p>
        </w:tc>
        <w:tc>
          <w:tcPr/>
          <w:p>
            <w:pPr>
              <w:pStyle w:val="Compact"/>
            </w:pPr>
            <w:r>
              <w:t xml:space="preserve">Adversarial tests</w:t>
            </w:r>
          </w:p>
        </w:tc>
        <w:tc>
          <w:tcPr/>
          <w:p>
            <w:pPr>
              <w:pStyle w:val="Compact"/>
            </w:pPr>
            <w:r>
              <w:t xml:space="preserve">Signature tamper, key mismatch, stale bundle, downgrade, and missing-component scenarios.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Month 11</w:t>
            </w:r>
          </w:p>
        </w:tc>
        <w:tc>
          <w:tcPr/>
          <w:p>
            <w:pPr>
              <w:pStyle w:val="Compact"/>
            </w:pPr>
            <w:r>
              <w:t xml:space="preserve">Evaluator packaging</w:t>
            </w:r>
          </w:p>
        </w:tc>
        <w:tc>
          <w:tcPr/>
          <w:p>
            <w:pPr>
              <w:pStyle w:val="Compact"/>
            </w:pPr>
            <w:r>
              <w:t xml:space="preserve">Runbooks, source map, audit export, and sample hybrid proof packets.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Month 12</w:t>
            </w:r>
          </w:p>
        </w:tc>
        <w:tc>
          <w:tcPr/>
          <w:p>
            <w:pPr>
              <w:pStyle w:val="Compact"/>
            </w:pPr>
            <w:r>
              <w:t xml:space="preserve">Final demonstration</w:t>
            </w:r>
          </w:p>
        </w:tc>
        <w:tc>
          <w:tcPr/>
          <w:p>
            <w:pPr>
              <w:pStyle w:val="Compact"/>
            </w:pPr>
            <w:r>
              <w:t xml:space="preserve">iDEX demo package, test report, and cryptographic-profile hardening roadmap.</w:t>
            </w:r>
          </w:p>
        </w:tc>
      </w:tr>
    </w:tbl>
    <w:bookmarkEnd w:id="25"/>
    <w:bookmarkStart w:id="26" w:name="e.-readiness-position"/>
    <w:p>
      <w:pPr>
        <w:pStyle w:val="Heading2"/>
      </w:pPr>
      <w:r>
        <w:t xml:space="preserve">9. E. Readiness Position</w:t>
      </w:r>
    </w:p>
    <w:p>
      <w:pPr>
        <w:pStyle w:val="FirstParagraph"/>
      </w:pPr>
      <w:r>
        <w:t xml:space="preserve">Fresh evidence includes</w:t>
      </w:r>
      <w:r>
        <w:t xml:space="preserve"> </w:t>
      </w:r>
      <w:r>
        <w:rPr>
          <w:rStyle w:val="VerbatimChar"/>
        </w:rPr>
        <w:t xml:space="preserve">cargo test -p nexus-pcu --features pqc pqc -- --nocapture</w:t>
      </w:r>
      <w:r>
        <w:t xml:space="preserve"> </w:t>
      </w:r>
      <w:r>
        <w:t xml:space="preserve">reporting 7 passed and 0 failed.</w:t>
      </w:r>
    </w:p>
    <w:p>
      <w:pPr>
        <w:pStyle w:val="BodyText"/>
      </w:pPr>
      <w:r>
        <w:t xml:space="preserve">Submission boundary: software-subsystem prototype only. Certified cryptographic accreditation, network-wide enforcement, HSM deployment, secure element provisioning, and defence key authority approval remain proposed iDEX work packages.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2026-05-17T16:19:19Z</dcterms:created>
  <dcterms:modified xsi:type="dcterms:W3CDTF">2026-05-17T16:19:19Z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