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3"/>
    <w:p>
      <w:pPr>
        <w:pStyle w:val="Heading1"/>
      </w:pPr>
      <w:r>
        <w:t xml:space="preserve">Annexure-3</w:t>
      </w:r>
    </w:p>
    <w:p>
      <w:pPr>
        <w:pStyle w:val="FirstParagraph"/>
      </w:pPr>
      <w:r>
        <w:t xml:space="preserve">Advantages, competencies, and benefits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7" w:name="advantages-and-competencies"/>
    <w:p>
      <w:pPr>
        <w:pStyle w:val="Heading1"/>
      </w:pPr>
      <w:r>
        <w:t xml:space="preserve">Advantages and Competencies</w:t>
      </w:r>
    </w:p>
    <w:bookmarkStart w:id="11" w:name="defence-benefits"/>
    <w:p>
      <w:pPr>
        <w:pStyle w:val="Heading2"/>
      </w:pPr>
      <w:r>
        <w:t xml:space="preserve">1. Defence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Defence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Transition-safe identity</w:t>
            </w:r>
          </w:p>
        </w:tc>
        <w:tc>
          <w:tcPr/>
          <w:p>
            <w:pPr>
              <w:pStyle w:val="Compact"/>
            </w:pPr>
            <w:r>
              <w:t xml:space="preserve">Allows classical and PQC verification paths to coexist during migration.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preservation</w:t>
            </w:r>
          </w:p>
        </w:tc>
        <w:tc>
          <w:tcPr/>
          <w:p>
            <w:pPr>
              <w:pStyle w:val="Compact"/>
            </w:pPr>
            <w:r>
              <w:t xml:space="preserve">Ed25519 path remains usable for current systems.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readiness path</w:t>
            </w:r>
          </w:p>
        </w:tc>
        <w:tc>
          <w:tcPr/>
          <w:p>
            <w:pPr>
              <w:pStyle w:val="Compact"/>
            </w:pPr>
            <w:r>
              <w:t xml:space="preserve">ML-DSA-65 path is available under the explicit</w:t>
            </w:r>
            <w:r>
              <w:t xml:space="preserve"> </w:t>
            </w:r>
            <w:r>
              <w:rPr>
                <w:rStyle w:val="VerbatimChar"/>
              </w:rPr>
              <w:t xml:space="preserve">pqc</w:t>
            </w:r>
            <w:r>
              <w:t xml:space="preserve"> </w:t>
            </w:r>
            <w:r>
              <w:t xml:space="preserve">feature.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Policy-visible fallback</w:t>
            </w:r>
          </w:p>
        </w:tc>
        <w:tc>
          <w:tcPr/>
          <w:p>
            <w:pPr>
              <w:pStyle w:val="Compact"/>
            </w:pPr>
            <w:r>
              <w:t xml:space="preserve">Verifier can record whether classical, PQC, or both paths succeeded.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identity binding</w:t>
            </w:r>
          </w:p>
        </w:tc>
        <w:tc>
          <w:tcPr/>
          <w:p>
            <w:pPr>
              <w:pStyle w:val="Compact"/>
            </w:pPr>
            <w:r>
              <w:t xml:space="preserve">PCU identity and NodeAttestation provide integration points for proof packets.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evidence</w:t>
            </w:r>
          </w:p>
        </w:tc>
        <w:tc>
          <w:tcPr/>
          <w:p>
            <w:pPr>
              <w:pStyle w:val="Compact"/>
            </w:pPr>
            <w:r>
              <w:t xml:space="preserve">Feature-gated test exercises behavior when classical and PQC components are modified.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 deployment path</w:t>
            </w:r>
          </w:p>
        </w:tc>
        <w:tc>
          <w:tcPr/>
          <w:p>
            <w:pPr>
              <w:pStyle w:val="Compact"/>
            </w:pPr>
            <w:r>
              <w:t xml:space="preserve">Prototype does not claim certified cryptographic accreditation.</w:t>
            </w:r>
          </w:p>
        </w:tc>
      </w:tr>
    </w:tbl>
    <w:bookmarkEnd w:id="11"/>
    <w:bookmarkStart w:id="12" w:name="technical-advantages"/>
    <w:p>
      <w:pPr>
        <w:pStyle w:val="Heading2"/>
      </w:pPr>
      <w:r>
        <w:t xml:space="preserve">2. Technical Advantages</w:t>
      </w:r>
    </w:p>
    <w:p>
      <w:pPr>
        <w:pStyle w:val="FirstParagraph"/>
      </w:pPr>
      <w:r>
        <w:t xml:space="preserve">PQC Defence Identity is strongest as a migration and verification layer, not as a claim of immediate operational cryptographic certification. It focuses on the defence question: how can long-life systems start carrying post-quantum identity evidence without breaking current verification and audit workflows.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Technical Advantage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signature type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HybridSignature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nexus-pcu/src/pqc.rs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keypair path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HybridKeyPair::generate()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sign()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Public-key bundle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PublicKeyBundle</w:t>
            </w:r>
            <w:r>
              <w:t xml:space="preserve"> </w:t>
            </w:r>
            <w:r>
              <w:t xml:space="preserve">supports classical and optional PQC key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feature tests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nexus-pcu --features pqc pqc -- --nocapture</w:t>
            </w:r>
            <w:r>
              <w:t xml:space="preserve"> </w:t>
            </w:r>
            <w:r>
              <w:t xml:space="preserve">reports 7/7.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traceability</w:t>
            </w:r>
          </w:p>
        </w:tc>
        <w:tc>
          <w:tcPr/>
          <w:p>
            <w:pPr>
              <w:pStyle w:val="Compact"/>
            </w:pPr>
            <w:r>
              <w:t xml:space="preserve">Annexure 4 includes screenshots, source paths, output logs, and artifact maps.</w:t>
            </w:r>
          </w:p>
        </w:tc>
      </w:tr>
    </w:tbl>
    <w:bookmarkEnd w:id="12"/>
    <w:bookmarkStart w:id="13" w:name="product-and-commercial-potential"/>
    <w:p>
      <w:pPr>
        <w:pStyle w:val="Heading2"/>
      </w:pPr>
      <w:r>
        <w:t xml:space="preserve">3. Product and Commercial Potential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</w:pPr>
            <w:r>
              <w:t xml:space="preserve">Potential Productization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device identity</w:t>
            </w:r>
          </w:p>
        </w:tc>
        <w:tc>
          <w:tcPr/>
          <w:p>
            <w:pPr>
              <w:pStyle w:val="Compact"/>
            </w:pPr>
            <w:r>
              <w:t xml:space="preserve">Hybrid key bundles for agents, sensors, gateways, and robotic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proof packets</w:t>
            </w:r>
          </w:p>
        </w:tc>
        <w:tc>
          <w:tcPr/>
          <w:p>
            <w:pPr>
              <w:pStyle w:val="Compact"/>
            </w:pPr>
            <w:r>
              <w:t xml:space="preserve">Hybrid-signed execution proofs and mission data verification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modernization</w:t>
            </w:r>
          </w:p>
        </w:tc>
        <w:tc>
          <w:tcPr/>
          <w:p>
            <w:pPr>
              <w:pStyle w:val="Compact"/>
            </w:pPr>
            <w:r>
              <w:t xml:space="preserve">Migration envelope for command systems that need a phased cryptographic transition.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infrastructure</w:t>
            </w:r>
          </w:p>
        </w:tc>
        <w:tc>
          <w:tcPr/>
          <w:p>
            <w:pPr>
              <w:pStyle w:val="Compact"/>
            </w:pPr>
            <w:r>
              <w:t xml:space="preserve">Dual-use hybrid identity for grid, maritime, disaster response, and industrial telemetry.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 ranges and testbeds</w:t>
            </w:r>
          </w:p>
        </w:tc>
        <w:tc>
          <w:tcPr/>
          <w:p>
            <w:pPr>
              <w:pStyle w:val="Compact"/>
            </w:pPr>
            <w:r>
              <w:t xml:space="preserve">PQC migration and downgrade-scenario testing environment.</w:t>
            </w:r>
          </w:p>
        </w:tc>
      </w:tr>
    </w:tbl>
    <w:bookmarkEnd w:id="13"/>
    <w:bookmarkStart w:id="14" w:name="team-competencies"/>
    <w:p>
      <w:pPr>
        <w:pStyle w:val="Heading2"/>
      </w:pPr>
      <w:r>
        <w:t xml:space="preserve">4. Team Competencies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</w:pPr>
            <w:r>
              <w:t xml:space="preserve">Repository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cryptographic 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  <w:r>
              <w:t xml:space="preserve"> </w:t>
            </w:r>
            <w:r>
              <w:t xml:space="preserve">and feature-gated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Capability-based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nexus-pcu/src/identity.rs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Proof-carrying computation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nexus-pcu/src/pcu.rs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nexus-pcu/src/proof.rs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 crypto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nexus-pcu/src/crypto.rs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packaging</w:t>
            </w:r>
          </w:p>
        </w:tc>
        <w:tc>
          <w:tcPr/>
          <w:p>
            <w:pPr>
              <w:pStyle w:val="Compact"/>
            </w:pPr>
            <w:r>
              <w:t xml:space="preserve">Annexure 4 includes source screenshots, test output, repo links, and artifact maps.</w:t>
            </w:r>
          </w:p>
        </w:tc>
      </w:tr>
    </w:tbl>
    <w:bookmarkEnd w:id="14"/>
    <w:bookmarkStart w:id="15" w:name="why-idex-support-is-required"/>
    <w:p>
      <w:pPr>
        <w:pStyle w:val="Heading2"/>
      </w:pPr>
      <w:r>
        <w:t xml:space="preserve">5. Why iDEX Support Is Required</w:t>
      </w:r>
    </w:p>
    <w:p>
      <w:pPr>
        <w:pStyle w:val="FirstParagraph"/>
      </w:pPr>
      <w:r>
        <w:t xml:space="preserve">The remaining work is transition hardening: evaluator-approved cryptographic profile, key lifecycle, revocation bundles, downgrade policy, packet/proof integration, HSM or secure element adapter, audit export, sample device identities, and red-team migration scenarios.</w:t>
      </w:r>
    </w:p>
    <w:bookmarkEnd w:id="15"/>
    <w:bookmarkStart w:id="16" w:name="readiness-caveat"/>
    <w:p>
      <w:pPr>
        <w:pStyle w:val="Heading2"/>
      </w:pPr>
      <w:r>
        <w:t xml:space="preserve">6. Readiness Caveat</w:t>
      </w:r>
    </w:p>
    <w:p>
      <w:pPr>
        <w:pStyle w:val="FirstParagraph"/>
      </w:pPr>
      <w:r>
        <w:t xml:space="preserve">The current package should be evaluated as a software-subsystem prototype. It does not claim certified cryptographic module status, operational key authority approval, HSM-backed deployment, secure element provisioning, or network-wide PQC enforcement. Those are proposed milestones under the 12-month iDEX work plan.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2026-05-17T16:19:19Z</dcterms:created>
  <dcterms:modified xsi:type="dcterms:W3CDTF">2026-05-17T16:19:19Z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