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idex-open-challenge-submission"/>
    <w:p>
      <w:pPr>
        <w:pStyle w:val="Heading1"/>
      </w:pPr>
      <w:r>
        <w:t xml:space="preserve">IDEX OPEN CHALLENGE SUBMISSION</w:t>
      </w:r>
    </w:p>
    <w:bookmarkEnd w:id="9"/>
    <w:bookmarkStart w:id="10" w:name="annexure-3"/>
    <w:p>
      <w:pPr>
        <w:pStyle w:val="Heading1"/>
      </w:pPr>
      <w:r>
        <w:t xml:space="preserve">Annexure-3</w:t>
      </w:r>
    </w:p>
    <w:p>
      <w:pPr>
        <w:pStyle w:val="FirstParagraph"/>
      </w:pPr>
      <w:r>
        <w:t xml:space="preserve">Advantages, competencies, and benefits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CIN</w:t>
            </w:r>
          </w:p>
        </w:tc>
        <w:tc>
          <w:tcPr/>
          <w:p>
            <w:pPr>
              <w:pStyle w:val="Compact"/>
            </w:pPr>
            <w:r>
              <w:t xml:space="preserve">PAN</w:t>
            </w:r>
          </w:p>
        </w:tc>
        <w:tc>
          <w:tcPr/>
          <w:p>
            <w:pPr>
              <w:pStyle w:val="Compact"/>
            </w:pPr>
            <w:r>
              <w:t xml:space="preserve">TAN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U62011AP2025PTC120239</w:t>
            </w:r>
          </w:p>
        </w:tc>
        <w:tc>
          <w:tcPr/>
          <w:p>
            <w:pPr>
              <w:pStyle w:val="Compact"/>
            </w:pPr>
            <w:r>
              <w:t xml:space="preserve">ABQCS7152R</w:t>
            </w:r>
          </w:p>
        </w:tc>
        <w:tc>
          <w:tcPr/>
          <w:p>
            <w:pPr>
              <w:pStyle w:val="Compact"/>
            </w:pPr>
            <w:r>
              <w:t xml:space="preserve">VPNS31351F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Applicant Entity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Syntriass Labs Private Limited</w:t>
            </w:r>
          </w:p>
        </w:tc>
        <w:tc>
          <w:tcPr/>
          <w:p>
            <w:pPr>
              <w:pStyle w:val="Compact"/>
            </w:pPr>
            <w:r>
              <w:t xml:space="preserve">kattanaga5555@gmail.com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12-50, SLV Market, 12 Ward, Dharmavaram, Ananthapur - 515671, Andhra Pradesh, India</w:t>
            </w:r>
          </w:p>
        </w:tc>
        <w:tc>
          <w:tcPr/>
          <w:p>
            <w:pPr>
              <w:pStyle w:val="Compact"/>
            </w:pPr>
            <w:r>
              <w:t xml:space="preserve">+91 88864 68060</w:t>
            </w:r>
          </w:p>
        </w:tc>
      </w:tr>
    </w:tbl>
    <w:bookmarkEnd w:id="10"/>
    <w:bookmarkStart w:id="17" w:name="advantages-and-competencies"/>
    <w:p>
      <w:pPr>
        <w:pStyle w:val="Heading1"/>
      </w:pPr>
      <w:r>
        <w:t xml:space="preserve">Advantages and Competencies</w:t>
      </w:r>
    </w:p>
    <w:bookmarkStart w:id="11" w:name="defence-benefits"/>
    <w:p>
      <w:pPr>
        <w:pStyle w:val="Heading2"/>
      </w:pPr>
      <w:r>
        <w:t xml:space="preserve">1. Defence Benefits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Benefit</w:t>
            </w:r>
          </w:p>
        </w:tc>
        <w:tc>
          <w:tcPr/>
          <w:p>
            <w:pPr>
              <w:pStyle w:val="Compact"/>
            </w:pPr>
            <w:r>
              <w:t xml:space="preserve">Defence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Disconnected operation</w:t>
            </w:r>
          </w:p>
        </w:tc>
        <w:tc>
          <w:tcPr/>
          <w:p>
            <w:pPr>
              <w:pStyle w:val="Compact"/>
            </w:pPr>
            <w:r>
              <w:t xml:space="preserve">Nodes can continue local state updates during communication loss.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Deterministic merge path</w:t>
            </w:r>
          </w:p>
        </w:tc>
        <w:tc>
          <w:tcPr/>
          <w:p>
            <w:pPr>
              <w:pStyle w:val="Compact"/>
            </w:pPr>
            <w:r>
              <w:t xml:space="preserve">Version vectors, CRDTs, and declared policy reduce opaque overwrite behavior.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Bandwidth-aware recovery</w:t>
            </w:r>
          </w:p>
        </w:tc>
        <w:tc>
          <w:tcPr/>
          <w:p>
            <w:pPr>
              <w:pStyle w:val="Compact"/>
            </w:pPr>
            <w:r>
              <w:t xml:space="preserve">Snapshot negotiation and compression reduce the need for full-state replay.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Provenance visibility</w:t>
            </w:r>
          </w:p>
        </w:tc>
        <w:tc>
          <w:tcPr/>
          <w:p>
            <w:pPr>
              <w:pStyle w:val="Compact"/>
            </w:pPr>
            <w:r>
              <w:t xml:space="preserve">DAG ordering, USO history, operation IDs, and snapshot roots give reviewers traceability.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Flexible mission schemas</w:t>
            </w:r>
          </w:p>
        </w:tc>
        <w:tc>
          <w:tcPr/>
          <w:p>
            <w:pPr>
              <w:pStyle w:val="Compact"/>
            </w:pPr>
            <w:r>
              <w:t xml:space="preserve">Different state types can map to counters, sets, text, maps, or explicit manual-review policy.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Honest validation boundary</w:t>
            </w:r>
          </w:p>
        </w:tc>
        <w:tc>
          <w:tcPr/>
          <w:p>
            <w:pPr>
              <w:pStyle w:val="Compact"/>
            </w:pPr>
            <w:r>
              <w:t xml:space="preserve">Stale doctest and stale E2E integration gaps are declared as iDEX hardening work.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Dual-use applicability</w:t>
            </w:r>
          </w:p>
        </w:tc>
        <w:tc>
          <w:tcPr/>
          <w:p>
            <w:pPr>
              <w:pStyle w:val="Compact"/>
            </w:pPr>
            <w:r>
              <w:t xml:space="preserve">The same sync layer can support defence, disaster response, maritime, industrial, and critical infrastructure systems.</w:t>
            </w:r>
          </w:p>
        </w:tc>
      </w:tr>
    </w:tbl>
    <w:bookmarkEnd w:id="11"/>
    <w:bookmarkStart w:id="12" w:name="technical-advantages"/>
    <w:p>
      <w:pPr>
        <w:pStyle w:val="Heading2"/>
      </w:pPr>
      <w:r>
        <w:t xml:space="preserve">2. Technical Advantages</w:t>
      </w:r>
    </w:p>
    <w:p>
      <w:pPr>
        <w:pStyle w:val="FirstParagraph"/>
      </w:pPr>
      <w:r>
        <w:t xml:space="preserve">CAUSALUX Contested Sync is strongest as a low-bandwidth and disconnected state-coordination layer. It focuses on the defence question: how can nodes continue operating when communication is impaired, then safely reconcile state with visible provenance when connectivity returns.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Technical Advantage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Version-vector model 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causalux/src/version_vector.rs</w:t>
            </w:r>
            <w:r>
              <w:t xml:space="preserve"> </w:t>
            </w:r>
            <w:r>
              <w:t xml:space="preserve">tests increment, happens-before, conflict detection, merge, and total operations.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CRDT convergence 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causalux/src/crdt.rs</w:t>
            </w:r>
            <w:r>
              <w:t xml:space="preserve"> </w:t>
            </w:r>
            <w:r>
              <w:t xml:space="preserve">tests RGA text, counters, set, map, and composite document convergence.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Hierarchical sync 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causalux/src/sync.rs</w:t>
            </w:r>
            <w:r>
              <w:t xml:space="preserve"> </w:t>
            </w:r>
            <w:r>
              <w:t xml:space="preserve">provides request/response, common snapshot, strategy, and savings calculation.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USO integration 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nexus-sync/src/sync_engine.rs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nexus-sync/src/crdt_uso.rs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nexus-pcu/src/uso.rs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Compression tests 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nexus-compress</w:t>
            </w:r>
            <w:r>
              <w:t xml:space="preserve"> </w:t>
            </w:r>
            <w:r>
              <w:t xml:space="preserve">reports 5 tests passed.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Reviewer traceability</w:t>
            </w:r>
          </w:p>
        </w:tc>
        <w:tc>
          <w:tcPr/>
          <w:p>
            <w:pPr>
              <w:pStyle w:val="Compact"/>
            </w:pPr>
            <w:r>
              <w:t xml:space="preserve">Annexure 4 includes screenshots, source paths, output logs, caveats, and artifact maps.</w:t>
            </w:r>
          </w:p>
        </w:tc>
      </w:tr>
    </w:tbl>
    <w:bookmarkEnd w:id="12"/>
    <w:bookmarkStart w:id="13" w:name="product-and-commercial-potential"/>
    <w:p>
      <w:pPr>
        <w:pStyle w:val="Heading2"/>
      </w:pPr>
      <w:r>
        <w:t xml:space="preserve">3. Product and Commercial Potential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Market Segment</w:t>
            </w:r>
          </w:p>
        </w:tc>
        <w:tc>
          <w:tcPr/>
          <w:p>
            <w:pPr>
              <w:pStyle w:val="Compact"/>
            </w:pPr>
            <w:r>
              <w:t xml:space="preserve">Potential Productization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Defence C2 synchronization</w:t>
            </w:r>
          </w:p>
        </w:tc>
        <w:tc>
          <w:tcPr/>
          <w:p>
            <w:pPr>
              <w:pStyle w:val="Compact"/>
            </w:pPr>
            <w:r>
              <w:t xml:space="preserve">Disconnected mission-state synchronization for forward posts and mobile command nodes.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Autonomous systems</w:t>
            </w:r>
          </w:p>
        </w:tc>
        <w:tc>
          <w:tcPr/>
          <w:p>
            <w:pPr>
              <w:pStyle w:val="Compact"/>
            </w:pPr>
            <w:r>
              <w:t xml:space="preserve">State exchange between robots, drones, sensors, and edge agents after link recovery.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Tactical data links</w:t>
            </w:r>
          </w:p>
        </w:tc>
        <w:tc>
          <w:tcPr/>
          <w:p>
            <w:pPr>
              <w:pStyle w:val="Compact"/>
            </w:pPr>
            <w:r>
              <w:t xml:space="preserve">Compact delta/snapshot transfer under constrained bandwidth.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Cyber and SOC operations</w:t>
            </w:r>
          </w:p>
        </w:tc>
        <w:tc>
          <w:tcPr/>
          <w:p>
            <w:pPr>
              <w:pStyle w:val="Compact"/>
            </w:pPr>
            <w:r>
              <w:t xml:space="preserve">Distributed incident state merge during segmented network operations.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Disaster response</w:t>
            </w:r>
          </w:p>
        </w:tc>
        <w:tc>
          <w:tcPr/>
          <w:p>
            <w:pPr>
              <w:pStyle w:val="Compact"/>
            </w:pPr>
            <w:r>
              <w:t xml:space="preserve">Offline-first coordination for field teams with degraded communications.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Maritime and border systems</w:t>
            </w:r>
          </w:p>
        </w:tc>
        <w:tc>
          <w:tcPr/>
          <w:p>
            <w:pPr>
              <w:pStyle w:val="Compact"/>
            </w:pPr>
            <w:r>
              <w:t xml:space="preserve">Intermittent-link state synchronization for patrol and sensor networks.</w:t>
            </w:r>
          </w:p>
        </w:tc>
      </w:tr>
    </w:tbl>
    <w:bookmarkEnd w:id="13"/>
    <w:bookmarkStart w:id="14" w:name="team-competencies"/>
    <w:p>
      <w:pPr>
        <w:pStyle w:val="Heading2"/>
      </w:pPr>
      <w:r>
        <w:t xml:space="preserve">4. Team Competencies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Competency</w:t>
            </w:r>
          </w:p>
        </w:tc>
        <w:tc>
          <w:tcPr/>
          <w:p>
            <w:pPr>
              <w:pStyle w:val="Compact"/>
            </w:pPr>
            <w:r>
              <w:t xml:space="preserve">Repository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Distributed systems engineering</w:t>
            </w:r>
          </w:p>
        </w:tc>
        <w:tc>
          <w:tcPr/>
          <w:p>
            <w:pPr>
              <w:pStyle w:val="Compact"/>
            </w:pPr>
            <w:r>
              <w:t xml:space="preserve">CAUSALUX DAG, version vector, snapshot, and sync modules.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Conflict-free state design</w:t>
            </w:r>
          </w:p>
        </w:tc>
        <w:tc>
          <w:tcPr/>
          <w:p>
            <w:pPr>
              <w:pStyle w:val="Compact"/>
            </w:pPr>
            <w:r>
              <w:t xml:space="preserve">CRDT module and CRDT-backed USO implementation.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Proof/state object modeling</w:t>
            </w:r>
          </w:p>
        </w:tc>
        <w:tc>
          <w:tcPr/>
          <w:p>
            <w:pPr>
              <w:pStyle w:val="Compact"/>
            </w:pPr>
            <w:r>
              <w:t xml:space="preserve">NEXUS PCU USO state, access, sync policy, and causal history.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Bandwidth optimization</w:t>
            </w:r>
          </w:p>
        </w:tc>
        <w:tc>
          <w:tcPr/>
          <w:p>
            <w:pPr>
              <w:pStyle w:val="Compact"/>
            </w:pPr>
            <w:r>
              <w:t xml:space="preserve">VECTRA compression wrappers for PCU and USO data.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discipline</w:t>
            </w:r>
          </w:p>
        </w:tc>
        <w:tc>
          <w:tcPr/>
          <w:p>
            <w:pPr>
              <w:pStyle w:val="Compact"/>
            </w:pPr>
            <w:r>
              <w:t xml:space="preserve">Selected tests were run, broader gaps were captured, and Annexure 4 maps each claim to file locations.</w:t>
            </w:r>
          </w:p>
        </w:tc>
      </w:tr>
    </w:tbl>
    <w:bookmarkEnd w:id="14"/>
    <w:bookmarkStart w:id="15" w:name="why-idex-support-is-required"/>
    <w:p>
      <w:pPr>
        <w:pStyle w:val="Heading2"/>
      </w:pPr>
      <w:r>
        <w:t xml:space="preserve">5. Why iDEX Support Is Required</w:t>
      </w:r>
    </w:p>
    <w:p>
      <w:pPr>
        <w:pStyle w:val="FirstParagraph"/>
      </w:pPr>
      <w:r>
        <w:t xml:space="preserve">The remaining work is operational hardening: scenario-specific mission schemas, evaluator-approved merge rules, stale E2E test modernization, replay/stale-update tests, network emulator validation, packet-loss and bandwidth constraints, radio/network-in-loop testing, and final demonstration packaging.</w:t>
      </w:r>
    </w:p>
    <w:bookmarkEnd w:id="15"/>
    <w:bookmarkStart w:id="16" w:name="readiness-caveat"/>
    <w:p>
      <w:pPr>
        <w:pStyle w:val="Heading2"/>
      </w:pPr>
      <w:r>
        <w:t xml:space="preserve">6. Readiness Caveat</w:t>
      </w:r>
    </w:p>
    <w:p>
      <w:pPr>
        <w:pStyle w:val="FirstParagraph"/>
      </w:pPr>
      <w:r>
        <w:t xml:space="preserve">The current package should be evaluated as a software-subsystem prototype. It does not claim radio-field validation, EW/jamming validation, physical-platform qualification, operational deployment, or complete updated E2E contested-sync validation. Those are proposed milestones under the 12-month iDEX work plan.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2026-05-17T16:34:22Z</dcterms:created>
  <dcterms:modified xsi:type="dcterms:W3CDTF">2026-05-17T16:34:22Z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