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76" w:lineRule="auto"/>
        <w:jc w:val="center"/>
      </w:pPr>
      <w:r>
        <w:rPr>
          <w:b/>
          <w:color w:val="1F4E79"/>
          <w:sz w:val="32"/>
        </w:rPr>
        <w:t>NOTICE TO UNSECURED CREDITORS, THE OFFICIAL COMMITTEE OF UNSECURED CREDITORS, AND INTERESTED PARTIES</w:t>
      </w:r>
    </w:p>
    <w:p>
      <w:pPr>
        <w:spacing w:after="140" w:line="276" w:lineRule="auto"/>
        <w:jc w:val="center"/>
      </w:pPr>
      <w:r>
        <w:rPr>
          <w:b/>
          <w:sz w:val="28"/>
        </w:rPr>
        <w:t>Regarding Potential Material Recovery Impacts Arising from Contractual Treatment of CILT Under the PREPA Trust Agreement</w:t>
      </w:r>
    </w:p>
    <w:p>
      <w:pPr>
        <w:spacing w:after="140" w:line="276" w:lineRule="auto"/>
        <w:jc w:val="center"/>
      </w:pPr>
      <w:r>
        <w:rPr>
          <w:i/>
          <w:sz w:val="22"/>
        </w:rPr>
        <w:t>Request for Creditor Review and Engagement Regarding Potential Recovery Impacts and Contractual Considerations Affecting PREPA Restructuring Economics</w:t>
      </w:r>
    </w:p>
    <w:p>
      <w:pPr>
        <w:spacing w:after="140" w:line="276" w:lineRule="auto"/>
      </w:pPr>
    </w:p>
    <w:p>
      <w:pPr>
        <w:spacing w:after="140" w:line="276" w:lineRule="auto"/>
      </w:pPr>
    </w:p>
    <w:p>
      <w:pPr>
        <w:spacing w:after="140" w:line="276" w:lineRule="auto"/>
      </w:pPr>
    </w:p>
    <w:p>
      <w:pPr>
        <w:spacing w:after="140" w:line="276" w:lineRule="auto"/>
      </w:pPr>
    </w:p>
    <w:p>
      <w:pPr>
        <w:spacing w:after="140" w:line="276" w:lineRule="auto"/>
      </w:pPr>
    </w:p>
    <w:p>
      <w:pPr>
        <w:spacing w:after="140" w:line="276" w:lineRule="auto"/>
      </w:pPr>
    </w:p>
    <w:p>
      <w:pPr>
        <w:spacing w:after="140" w:line="276" w:lineRule="auto"/>
        <w:jc w:val="center"/>
      </w:pPr>
      <w:r>
        <w:rPr>
          <w:b/>
          <w:sz w:val="24"/>
        </w:rPr>
        <w:t>Integrated Master Memorandum</w:t>
      </w:r>
    </w:p>
    <w:p>
      <w:pPr>
        <w:spacing w:after="140" w:line="276" w:lineRule="auto"/>
        <w:jc w:val="center"/>
      </w:pPr>
      <w:r>
        <w:rPr>
          <w:i/>
          <w:sz w:val="20"/>
        </w:rPr>
        <w:t>Preserving the creditor-facing structure of the prior drafts and incorporating Trust Agreement, Official Statement, and Audit Commission material</w:t>
      </w:r>
    </w:p>
    <w:p>
      <w:pPr>
        <w:spacing w:after="140" w:line="276" w:lineRule="auto"/>
        <w:jc w:val="center"/>
      </w:pPr>
      <w:r>
        <w:rPr>
          <w:sz w:val="20"/>
        </w:rPr>
        <w:t>May 2026</w:t>
      </w:r>
    </w:p>
    <w:p>
      <w:pPr>
        <w:spacing w:after="140" w:line="276" w:lineRule="auto"/>
      </w:pPr>
      <w:r>
        <w:br w:type="page"/>
      </w:r>
    </w:p>
    <w:p>
      <w:pPr>
        <w:pStyle w:val="Heading1"/>
        <w:spacing w:before="280" w:after="140"/>
      </w:pPr>
      <w:r>
        <w:t>Why This Matters Now</w:t>
      </w:r>
    </w:p>
    <w:p>
      <w:pPr>
        <w:spacing w:after="140" w:line="276" w:lineRule="auto"/>
      </w:pPr>
      <w:r>
        <w:t>This memorandum is intended to invite serious, independent creditor review of a discrete contractual and economic issue: whether the current recovery framework for PREPA properly reflects the Trust Agreement's treatment of Contributions in Lieu of Taxes (CILT), municipal receivables, Current Expenses, Net Revenues, and debt-service coverage. The issue is not presented as a request that any creditor adopt a predetermined conclusion. It is presented because the governing documents and public disclosures indicate that recovery assumptions may turn on a threshold contractual question that unsecured creditors should not ignore.</w:t>
      </w:r>
    </w:p>
    <w:p>
      <w:pPr>
        <w:spacing w:after="140" w:line="276" w:lineRule="auto"/>
      </w:pPr>
      <w:r>
        <w:t>The 2010 Official Statement disclosed that PREPA's Revenues and Net Revenues included municipal energy billings that PREPA was legally entitled to collect but historically did not collect because those billings were offset against CILT. It also disclosed that revenues attributable to municipal energy consumption and specified subsidies totaled approximately $224.7 million for fiscal year 2009. That disclosure, when read against the Trust Agreement definition of Net Revenues as Revenues less Current Expenses, raises a creditor-recovery question that is fundamentally contractual rather than accusatory.</w:t>
      </w:r>
    </w:p>
    <w:p>
      <w:pPr>
        <w:spacing w:after="140" w:line="276" w:lineRule="auto"/>
      </w:pPr>
      <w:r>
        <w:t>The Puerto Rico Commission for the Comprehensive Audit of the Public Credit later identified the same general issue for further review in connection with the 2013 PREPA bond issuance: whether inclusion of uncollected revenues caused PREPA's debt-service coverage to appear higher than it would have appeared if those revenues were excluded. That independent public-credit audit context makes the issue harder to characterize as speculative or idiosyncratic.</w:t>
      </w:r>
    </w:p>
    <w:p>
      <w:pPr>
        <w:spacing w:after="140" w:line="276" w:lineRule="auto"/>
      </w:pPr>
      <w:r>
        <w:t>The practical issue is whether the restructuring economics presently being used to evaluate creditor recoveries fully account for the contractual effect of CILT and municipal receivable treatment. If they do, independent review will confirm that point. If they do not, the potential corrective consequences may be material to unsecured creditors.</w:t>
      </w:r>
    </w:p>
    <w:p>
      <w:pPr>
        <w:pStyle w:val="Heading2"/>
        <w:spacing w:before="280" w:after="140"/>
      </w:pPr>
      <w:r>
        <w:t>Document Structure</w:t>
      </w:r>
    </w:p>
    <w:p>
      <w:pPr>
        <w:pStyle w:val="ListNumber"/>
        <w:spacing w:line="276" w:lineRule="auto" w:after="140"/>
      </w:pPr>
      <w:r>
        <w:t>Executive Summary</w:t>
      </w:r>
    </w:p>
    <w:p>
      <w:pPr>
        <w:pStyle w:val="ListNumber"/>
        <w:spacing w:line="276" w:lineRule="auto" w:after="140"/>
      </w:pPr>
      <w:r>
        <w:t>Why Immediate Creditor Engagement May Be Warranted</w:t>
      </w:r>
    </w:p>
    <w:p>
      <w:pPr>
        <w:pStyle w:val="ListNumber"/>
        <w:spacing w:line="276" w:lineRule="auto" w:after="140"/>
      </w:pPr>
      <w:r>
        <w:t>Contractual Framework Requiring Review</w:t>
      </w:r>
    </w:p>
    <w:p>
      <w:pPr>
        <w:pStyle w:val="ListNumber"/>
        <w:spacing w:line="276" w:lineRule="auto" w:after="140"/>
      </w:pPr>
      <w:r>
        <w:t>Municipal Receivables and Debt-Service Coverage</w:t>
      </w:r>
    </w:p>
    <w:p>
      <w:pPr>
        <w:pStyle w:val="ListNumber"/>
        <w:spacing w:line="276" w:lineRule="auto" w:after="140"/>
      </w:pPr>
      <w:r>
        <w:t>The Half-Truth Problem</w:t>
      </w:r>
    </w:p>
    <w:p>
      <w:pPr>
        <w:pStyle w:val="ListNumber"/>
        <w:spacing w:line="276" w:lineRule="auto" w:after="140"/>
      </w:pPr>
      <w:r>
        <w:t>Independent Corroboration</w:t>
      </w:r>
    </w:p>
    <w:p>
      <w:pPr>
        <w:pStyle w:val="ListNumber"/>
        <w:spacing w:line="276" w:lineRule="auto" w:after="140"/>
      </w:pPr>
      <w:r>
        <w:t>Likely Judicial Corrective Paths</w:t>
      </w:r>
    </w:p>
    <w:p>
      <w:pPr>
        <w:pStyle w:val="ListNumber"/>
        <w:spacing w:line="276" w:lineRule="auto" w:after="140"/>
      </w:pPr>
      <w:r>
        <w:t>Illustrative Economic Consequences</w:t>
      </w:r>
    </w:p>
    <w:p>
      <w:pPr>
        <w:pStyle w:val="ListNumber"/>
        <w:spacing w:line="276" w:lineRule="auto" w:after="140"/>
      </w:pPr>
      <w:r>
        <w:t>Why the Issue Has Become Increasingly Difficult to Ignore</w:t>
      </w:r>
    </w:p>
    <w:p>
      <w:pPr>
        <w:pStyle w:val="ListNumber"/>
        <w:spacing w:line="276" w:lineRule="auto" w:after="140"/>
      </w:pPr>
      <w:r>
        <w:t>Questions Creditors May Wish to Independently Evaluate</w:t>
      </w:r>
    </w:p>
    <w:p>
      <w:pPr>
        <w:pStyle w:val="ListNumber"/>
        <w:spacing w:line="276" w:lineRule="auto" w:after="140"/>
      </w:pPr>
      <w:r>
        <w:t>Fiduciary Considerations</w:t>
      </w:r>
    </w:p>
    <w:p>
      <w:pPr>
        <w:pStyle w:val="ListNumber"/>
        <w:spacing w:line="276" w:lineRule="auto" w:after="140"/>
      </w:pPr>
      <w:r>
        <w:t>Request for Engagement</w:t>
      </w:r>
    </w:p>
    <w:p>
      <w:pPr>
        <w:pStyle w:val="ListNumber"/>
        <w:spacing w:line="276" w:lineRule="auto" w:after="140"/>
      </w:pPr>
      <w:r>
        <w:t>Appendices and Source Notes</w:t>
      </w:r>
    </w:p>
    <w:p>
      <w:pPr>
        <w:spacing w:after="140" w:line="276" w:lineRule="auto"/>
      </w:pPr>
      <w:r>
        <w:br w:type="page"/>
      </w:r>
    </w:p>
    <w:p>
      <w:pPr>
        <w:pStyle w:val="Heading1"/>
        <w:spacing w:before="280" w:after="140"/>
      </w:pPr>
      <w:r>
        <w:t>I. Executive Summary</w:t>
      </w:r>
    </w:p>
    <w:p>
      <w:pPr>
        <w:spacing w:after="140" w:line="276" w:lineRule="auto"/>
      </w:pPr>
      <w:r>
        <w:t>This memorandum is respectfully submitted to the Official Committee of Unsecured Creditors (UCC), unsecured creditors, creditor professionals, and other interested parties involved in, or affected by, the restructuring proceedings concerning the Puerto Rico Electric Power Authority (PREPA).</w:t>
      </w:r>
    </w:p>
    <w:p>
      <w:pPr>
        <w:spacing w:after="140" w:line="276" w:lineRule="auto"/>
      </w:pPr>
      <w:r>
        <w:t>The purpose of this memorandum is not to advance litigation positions on behalf of any party, nor to accuse any institution or participant of wrongdoing. Rather, it is to identify a potentially material contractual issue concerning the treatment of CILT, municipal receivables, and related revenue recognition under the PREPA Trust Agreement that may materially affect restructuring economics, creditor recoveries, and assumptions currently being used in evaluating the unsecured creditor pool.</w:t>
      </w:r>
    </w:p>
    <w:p>
      <w:pPr>
        <w:spacing w:after="140" w:line="276" w:lineRule="auto"/>
      </w:pPr>
      <w:r>
        <w:t>Specifically, this memorandum requests that the UCC, creditor professionals, and affected creditors independently evaluate whether current recovery assumptions adequately account for contractual requirements governing:</w:t>
      </w:r>
    </w:p>
    <w:p>
      <w:pPr>
        <w:pStyle w:val="ListBullet"/>
        <w:spacing w:line="276" w:lineRule="auto" w:after="140"/>
      </w:pPr>
      <w:r>
        <w:t>Treatment of CILT as a Current Expense;</w:t>
      </w:r>
    </w:p>
    <w:p>
      <w:pPr>
        <w:pStyle w:val="ListBullet"/>
        <w:spacing w:line="276" w:lineRule="auto" w:after="140"/>
      </w:pPr>
      <w:r>
        <w:t>The inclusion or exclusion of municipal energy receivables in Net Revenues and debt-service calculations;</w:t>
      </w:r>
    </w:p>
    <w:p>
      <w:pPr>
        <w:pStyle w:val="ListBullet"/>
        <w:spacing w:line="276" w:lineRule="auto" w:after="140"/>
      </w:pPr>
      <w:r>
        <w:t>Debt Service Coverage Ratio (DSCR) assumptions reflected in historical PREPA financing and restructuring analyses;</w:t>
      </w:r>
    </w:p>
    <w:p>
      <w:pPr>
        <w:pStyle w:val="ListBullet"/>
        <w:spacing w:line="276" w:lineRule="auto" w:after="140"/>
      </w:pPr>
      <w:r>
        <w:t>Potential consequences if these contractual provisions are determined to have been materially misapplied or inconsistently represented in financing disclosures and restructuring assumptions.</w:t>
      </w:r>
    </w:p>
    <w:p>
      <w:pPr>
        <w:spacing w:after="140" w:line="276" w:lineRule="auto"/>
      </w:pPr>
      <w:r>
        <w:t>Based on preliminary contractual and financial analysis, the corrective impact associated with contract-compliant treatment may be material, with potential consequences to unsecured recoveries ranging from several hundred million dollars to, under certain modeled assumptions, potentially in excess of $2 billion depending on judicial findings, claim treatment, and economic assumptions.</w:t>
      </w:r>
    </w:p>
    <w:p>
      <w:pPr>
        <w:spacing w:after="140" w:line="276" w:lineRule="auto"/>
      </w:pPr>
      <w:r>
        <w:t>At minimum, the issue appears sufficiently material to warrant independent review by fiduciaries charged with maximizing creditor recoveries.</w:t>
      </w:r>
    </w:p>
    <w:p>
      <w:pPr>
        <w:pStyle w:val="Heading1"/>
        <w:spacing w:before="280" w:after="140"/>
      </w:pPr>
      <w:r>
        <w:t>II. Why Immediate Creditor Engagement May Be Warranted</w:t>
      </w:r>
    </w:p>
    <w:p>
      <w:pPr>
        <w:spacing w:after="140" w:line="276" w:lineRule="auto"/>
      </w:pPr>
      <w:r>
        <w:t>For unsecured creditors, timing matters. Even if contractual corrections ultimately prove narrower than initially projected, delayed engagement carries economic consequences independent of final legal outcomes.</w:t>
      </w:r>
    </w:p>
    <w:p>
      <w:pPr>
        <w:spacing w:after="140" w:line="276" w:lineRule="auto"/>
      </w:pPr>
      <w:r>
        <w:t>Those economic consequences include:</w:t>
      </w:r>
    </w:p>
    <w:p>
      <w:pPr>
        <w:pStyle w:val="ListBullet"/>
        <w:spacing w:line="276" w:lineRule="auto" w:after="140"/>
      </w:pPr>
      <w:r>
        <w:t>Continued delay in dividend distributions;</w:t>
      </w:r>
    </w:p>
    <w:p>
      <w:pPr>
        <w:pStyle w:val="ListBullet"/>
        <w:spacing w:line="276" w:lineRule="auto" w:after="140"/>
      </w:pPr>
      <w:r>
        <w:t>Potential underestimation of unsecured recovery percentages;</w:t>
      </w:r>
    </w:p>
    <w:p>
      <w:pPr>
        <w:pStyle w:val="ListBullet"/>
        <w:spacing w:line="276" w:lineRule="auto" w:after="140"/>
      </w:pPr>
      <w:r>
        <w:t>Mispricing of claims based on incomplete recovery assumptions;</w:t>
      </w:r>
    </w:p>
    <w:p>
      <w:pPr>
        <w:pStyle w:val="ListBullet"/>
        <w:spacing w:line="276" w:lineRule="auto" w:after="140"/>
      </w:pPr>
      <w:r>
        <w:t>Reduced settlement leverage;</w:t>
      </w:r>
    </w:p>
    <w:p>
      <w:pPr>
        <w:pStyle w:val="ListBullet"/>
        <w:spacing w:line="276" w:lineRule="auto" w:after="140"/>
      </w:pPr>
      <w:r>
        <w:t>Time-value-of-money losses associated with prolonged administration;</w:t>
      </w:r>
    </w:p>
    <w:p>
      <w:pPr>
        <w:pStyle w:val="ListBullet"/>
        <w:spacing w:line="276" w:lineRule="auto" w:after="140"/>
      </w:pPr>
      <w:r>
        <w:t>Loss of the opportunity to shape the expert, settlement, or reserve process before recovery assumptions become entrenched.</w:t>
      </w:r>
    </w:p>
    <w:p>
      <w:pPr>
        <w:pStyle w:val="IntenseQuote"/>
        <w:spacing w:line="276" w:lineRule="auto" w:after="140"/>
        <w:ind w:left="504" w:right="360"/>
      </w:pPr>
      <w:r>
        <w:rPr>
          <w:i/>
        </w:rPr>
        <w:t>Whether current recovery assumptions fully reflect the contractual framework governing PREPA revenues, expenses, and debt-service calculations.</w:t>
      </w:r>
    </w:p>
    <w:p>
      <w:pPr>
        <w:spacing w:after="140" w:line="276" w:lineRule="auto"/>
      </w:pPr>
      <w:r>
        <w:t>If material assumptions presently relied upon in restructuring economics are incomplete or inconsistent with the governing Trust Agreement, unsecured creditors may face avoidable dilution or delay in recoveries.</w:t>
      </w:r>
    </w:p>
    <w:p>
      <w:pPr>
        <w:spacing w:after="140" w:line="276" w:lineRule="auto"/>
      </w:pPr>
      <w:r>
        <w:t>The issue is especially important because the potential correction need not result in invalidation of the restructuring or wholesale rejection of bondholder claims. A court or the parties could instead address the issue through recalculation, claim-treatment adjustments, reserves, negotiated settlements, or revised recovery modeling. That makes early creditor engagement more practical, not less.</w:t>
      </w:r>
    </w:p>
    <w:p>
      <w:pPr>
        <w:pStyle w:val="Heading1"/>
        <w:spacing w:before="280" w:after="140"/>
      </w:pPr>
      <w:r>
        <w:t>III. Contractual Framework Requiring Review</w:t>
      </w:r>
    </w:p>
    <w:p>
      <w:pPr>
        <w:pStyle w:val="Heading2"/>
        <w:spacing w:before="280" w:after="140"/>
      </w:pPr>
      <w:r>
        <w:t>Preliminary Note Regarding Scope of Review</w:t>
      </w:r>
    </w:p>
    <w:p>
      <w:pPr>
        <w:spacing w:after="140" w:line="276" w:lineRule="auto"/>
      </w:pPr>
      <w:r>
        <w:t>This memorandum does not ask creditors to adopt any predetermined conclusion concerning historical financing practices or bond validity. Rather, it asks a narrower and more practical question:</w:t>
      </w:r>
    </w:p>
    <w:p>
      <w:pPr>
        <w:pStyle w:val="IntenseQuote"/>
        <w:spacing w:line="276" w:lineRule="auto" w:after="140"/>
        <w:ind w:left="504" w:right="360"/>
      </w:pPr>
      <w:r>
        <w:rPr>
          <w:i/>
        </w:rPr>
        <w:t>Whether the contractual assumptions presently informing creditor recoveries are fully consistent with the governing Trust Agreement.</w:t>
      </w:r>
    </w:p>
    <w:p>
      <w:pPr>
        <w:spacing w:after="140" w:line="276" w:lineRule="auto"/>
      </w:pPr>
      <w:r>
        <w:t>The distinction matters. Even absent any finding of misconduct, courts routinely revisit recovery assumptions when contractual provisions affecting waterfall economics, Current Expenses, lien calculations, or revenue treatment appear to have been materially misapplied.</w:t>
      </w:r>
    </w:p>
    <w:p>
      <w:pPr>
        <w:spacing w:after="140" w:line="276" w:lineRule="auto"/>
      </w:pPr>
      <w:r>
        <w:t>For unsecured creditors, the central issue is not historical fault. It is whether recoveries presently being negotiated or modeled are based upon assumptions that fully reflect governing contractual requirements.</w:t>
      </w:r>
    </w:p>
    <w:p>
      <w:pPr>
        <w:pStyle w:val="Heading2"/>
        <w:spacing w:before="280" w:after="140"/>
      </w:pPr>
      <w:r>
        <w:t>A. Overview of Relevant Contractual Mechanics</w:t>
      </w:r>
    </w:p>
    <w:p>
      <w:pPr>
        <w:spacing w:after="140" w:line="276" w:lineRule="auto"/>
      </w:pPr>
      <w:r>
        <w:t>The PREPA Trust Agreement establishes a structured framework governing:</w:t>
      </w:r>
    </w:p>
    <w:p>
      <w:pPr>
        <w:pStyle w:val="ListBullet"/>
        <w:spacing w:line="276" w:lineRule="auto" w:after="140"/>
      </w:pPr>
      <w:r>
        <w:t>Gross Revenues;</w:t>
      </w:r>
    </w:p>
    <w:p>
      <w:pPr>
        <w:pStyle w:val="ListBullet"/>
        <w:spacing w:line="276" w:lineRule="auto" w:after="140"/>
      </w:pPr>
      <w:r>
        <w:t>Current Expenses;</w:t>
      </w:r>
    </w:p>
    <w:p>
      <w:pPr>
        <w:pStyle w:val="ListBullet"/>
        <w:spacing w:line="276" w:lineRule="auto" w:after="140"/>
      </w:pPr>
      <w:r>
        <w:t>Net Revenues;</w:t>
      </w:r>
    </w:p>
    <w:p>
      <w:pPr>
        <w:pStyle w:val="ListBullet"/>
        <w:spacing w:line="276" w:lineRule="auto" w:after="140"/>
      </w:pPr>
      <w:r>
        <w:t>debt-service obligations;</w:t>
      </w:r>
    </w:p>
    <w:p>
      <w:pPr>
        <w:pStyle w:val="ListBullet"/>
        <w:spacing w:line="276" w:lineRule="auto" w:after="140"/>
      </w:pPr>
      <w:r>
        <w:t>debt-service coverage requirements;</w:t>
      </w:r>
    </w:p>
    <w:p>
      <w:pPr>
        <w:pStyle w:val="ListBullet"/>
        <w:spacing w:line="276" w:lineRule="auto" w:after="140"/>
      </w:pPr>
      <w:r>
        <w:t>priority of payment.</w:t>
      </w:r>
    </w:p>
    <w:p>
      <w:pPr>
        <w:spacing w:after="140" w:line="276" w:lineRule="auto"/>
      </w:pPr>
      <w:r>
        <w:t>In simplified form, Net Revenues available for debt service generally depend upon revenues remaining after payment of qualifying Current Expenses.</w:t>
      </w:r>
    </w:p>
    <w:p>
      <w:pPr>
        <w:pStyle w:val="IntenseQuote"/>
        <w:spacing w:line="276" w:lineRule="auto" w:after="140"/>
        <w:ind w:left="504" w:right="360"/>
      </w:pPr>
      <w:r>
        <w:rPr>
          <w:i/>
        </w:rPr>
        <w:t>Net Revenues = Revenues - Current Expenses</w:t>
      </w:r>
    </w:p>
    <w:p>
      <w:pPr>
        <w:spacing w:after="140" w:line="276" w:lineRule="auto"/>
      </w:pPr>
      <w:r>
        <w:t>The Trust Agreement defines Net Revenues as follows: 'The term Net Revenues for any particular period shall mean the amount of the excess of the Revenues for such period over the Current Expenses for such period.' Source: PREPA Trust Agreement, Article I, Section 101, definition of Net Revenues.</w:t>
      </w:r>
    </w:p>
    <w:p>
      <w:pPr>
        <w:spacing w:after="140" w:line="276" w:lineRule="auto"/>
      </w:pPr>
      <w:r>
        <w:t>Accordingly, if a material category of expense was contractually required to be recognized before debt-service calculations, but was instead offset or treated differently in practice, resulting debt-service coverage calculations may warrant reevaluation.</w:t>
      </w:r>
    </w:p>
    <w:p>
      <w:pPr>
        <w:pStyle w:val="IntenseQuote"/>
        <w:spacing w:line="276" w:lineRule="auto" w:after="140"/>
        <w:ind w:left="504" w:right="360"/>
      </w:pPr>
      <w:r>
        <w:rPr>
          <w:i/>
        </w:rPr>
        <w:t>If competing creditor recoveries were enhanced by assumptions inconsistent with the governing contract, unsecured recoveries may likewise have been affected.</w:t>
      </w:r>
    </w:p>
    <w:p>
      <w:pPr>
        <w:pStyle w:val="Heading2"/>
        <w:spacing w:before="280" w:after="140"/>
      </w:pPr>
      <w:r>
        <w:t>B. Importance of Current Expense Treatment</w:t>
      </w:r>
    </w:p>
    <w:p>
      <w:pPr>
        <w:spacing w:after="140" w:line="276" w:lineRule="auto"/>
      </w:pPr>
      <w:r>
        <w:t>The Trust Agreement defines Current Expenses broadly as the Authority's reasonable and necessary current expenses of maintaining, repairing, and operating the System. The definition includes administrative expenses, insurance premiums, engineering expenses relating to operation and maintenance, trustee and paying-agent fees, legal expenses, pension or retirement fund payments, and other expenses required to be paid under the 1947 Indenture, the Trust Agreement, by law, or permitted by standard practices for public utility systems. Source: PREPA Trust Agreement, Article I, Section 101, definition of Current Expenses.</w:t>
      </w:r>
    </w:p>
    <w:p>
      <w:pPr>
        <w:spacing w:after="140" w:line="276" w:lineRule="auto"/>
      </w:pPr>
      <w:r>
        <w:t>The breadth of this definition is important because it frames CILT as a contractual classification issue. If CILT is an expense required by law or otherwise properly treated as an expense of operating the public utility system, then it may need to be considered before Net Revenues are calculated.</w:t>
      </w:r>
    </w:p>
    <w:p>
      <w:pPr>
        <w:spacing w:after="140" w:line="276" w:lineRule="auto"/>
      </w:pPr>
      <w:r>
        <w:t>The Trust Agreement does not treat gross revenues as the sole measure of bondholder entitlement. It creates a sequence. That sequence is central to the creditor question because any error in the expense classification stage can carry through to Net Revenues, coverage ratios, claim strength, and recovery allocation.</w:t>
      </w:r>
    </w:p>
    <w:p>
      <w:pPr>
        <w:pStyle w:val="Heading2"/>
        <w:spacing w:before="280" w:after="140"/>
      </w:pPr>
      <w:r>
        <w:t>C. Trust Agreement Treatment of CILT</w:t>
      </w:r>
    </w:p>
    <w:p>
      <w:pPr>
        <w:spacing w:after="140" w:line="276" w:lineRule="auto"/>
      </w:pPr>
      <w:r>
        <w:t>The PREPA Trust Agreement appears to require close examination of the treatment of Contributions in Lieu of Taxes when calculating revenues available for debt service. A threshold contractual question is whether CILT should properly be treated as a Current Expense under the governing Trust Agreement framework before determination of Net Revenues available for bondholder claims.</w:t>
      </w:r>
    </w:p>
    <w:p>
      <w:pPr>
        <w:spacing w:after="140" w:line="276" w:lineRule="auto"/>
      </w:pPr>
      <w:r>
        <w:t>If CILT is contractually required to be treated as a Current Expense, but municipal receivables historically offset against CILT were nevertheless included in revenues or coverage calculations, material distortions may arise concerning:</w:t>
      </w:r>
    </w:p>
    <w:p>
      <w:pPr>
        <w:pStyle w:val="ListBullet"/>
        <w:spacing w:line="276" w:lineRule="auto" w:after="140"/>
      </w:pPr>
      <w:r>
        <w:t>Historical debt-service coverage ratios;</w:t>
      </w:r>
    </w:p>
    <w:p>
      <w:pPr>
        <w:pStyle w:val="ListBullet"/>
        <w:spacing w:line="276" w:lineRule="auto" w:after="140"/>
      </w:pPr>
      <w:r>
        <w:t>Bondholder recovery assumptions;</w:t>
      </w:r>
    </w:p>
    <w:p>
      <w:pPr>
        <w:pStyle w:val="ListBullet"/>
        <w:spacing w:line="276" w:lineRule="auto" w:after="140"/>
      </w:pPr>
      <w:r>
        <w:t>Relative priority and strength of competing creditor positions;</w:t>
      </w:r>
    </w:p>
    <w:p>
      <w:pPr>
        <w:pStyle w:val="ListBullet"/>
        <w:spacing w:line="276" w:lineRule="auto" w:after="140"/>
      </w:pPr>
      <w:r>
        <w:t>The size of the unsecured creditor pool;</w:t>
      </w:r>
    </w:p>
    <w:p>
      <w:pPr>
        <w:pStyle w:val="ListBullet"/>
        <w:spacing w:line="276" w:lineRule="auto" w:after="140"/>
      </w:pPr>
      <w:r>
        <w:t>Current restructuring economics.</w:t>
      </w:r>
    </w:p>
    <w:p>
      <w:pPr>
        <w:spacing w:after="140" w:line="276" w:lineRule="auto"/>
      </w:pPr>
      <w:r>
        <w:t>This issue is fundamentally contractual. It does not require findings of fraud, misconduct, or institutional fault to become economically important. The relevant inquiry is instead whether restructuring assumptions reflect the governing contractual framework.</w:t>
      </w:r>
    </w:p>
    <w:p>
      <w:pPr>
        <w:pStyle w:val="Heading1"/>
        <w:spacing w:before="280" w:after="140"/>
      </w:pPr>
      <w:r>
        <w:t>IV. Municipal Receivables and Debt-Service Coverage</w:t>
      </w:r>
    </w:p>
    <w:p>
      <w:pPr>
        <w:spacing w:after="140" w:line="276" w:lineRule="auto"/>
      </w:pPr>
      <w:r>
        <w:t>Public offering materials historically disclosed that PREPA included municipal electricity receivables in revenue calculations despite longstanding collection limitations and offset practices involving CILT.</w:t>
      </w:r>
    </w:p>
    <w:p>
      <w:pPr>
        <w:spacing w:after="140" w:line="276" w:lineRule="auto"/>
      </w:pPr>
      <w:r>
        <w:t>The 2010 Official Statement is particularly important. It stated that PREPA calculated Revenues, Current Expenses, and Net Revenues for purposes of the Trust Agreement on the accrual basis. It then disclosed that the figures for Revenues and Net Revenues included amounts billed to the Commonwealth's municipalities for electric energy sales that PREPA was legally entitled to collect but historically had not collected because PREPA instead offset those billings against CILT that it was required to pay the municipalities. Source: PREPA 2010 Official Statement, Operating Results section.</w:t>
      </w:r>
    </w:p>
    <w:p>
      <w:pPr>
        <w:spacing w:after="140" w:line="276" w:lineRule="auto"/>
      </w:pPr>
      <w:r>
        <w:t>The same disclosure stated that the amount of revenues attributable to municipal energy consumption and certain subsidies was approximately $224.7 million for fiscal year 2009 and approximately $150.3 million for the first eight months of fiscal year 2010. Source: PREPA 2010 Official Statement, Operating Results section.</w:t>
      </w:r>
    </w:p>
    <w:p>
      <w:pPr>
        <w:spacing w:after="140" w:line="276" w:lineRule="auto"/>
      </w:pPr>
      <w:r>
        <w:t>This raises a potentially significant contractual and economic question:</w:t>
      </w:r>
    </w:p>
    <w:p>
      <w:pPr>
        <w:pStyle w:val="IntenseQuote"/>
        <w:spacing w:line="276" w:lineRule="auto" w:after="140"/>
        <w:ind w:left="504" w:right="360"/>
      </w:pPr>
      <w:r>
        <w:rPr>
          <w:i/>
        </w:rPr>
        <w:t>If certain revenues were not collectible in ordinary practice due to offset arrangements, how should those revenues have been treated under the Trust Agreement for purposes of Net Revenues and debt-service calculations?</w:t>
      </w:r>
    </w:p>
    <w:p>
      <w:pPr>
        <w:spacing w:after="140" w:line="276" w:lineRule="auto"/>
      </w:pPr>
      <w:r>
        <w:t>If contract-compliant treatment materially changes debt-service coverage assumptions, resulting recovery expectations may likewise require reassessment.</w:t>
      </w:r>
    </w:p>
    <w:p>
      <w:pPr>
        <w:pStyle w:val="Heading2"/>
        <w:spacing w:before="280" w:after="140"/>
      </w:pPr>
      <w:r>
        <w:t>A. Why the 2010 Disclosure Matters</w:t>
      </w:r>
    </w:p>
    <w:p>
      <w:pPr>
        <w:spacing w:after="140" w:line="276" w:lineRule="auto"/>
      </w:pPr>
      <w:r>
        <w:t>The 2010 disclosure does not merely identify a technical accounting matter. It connects three concepts that directly affect recoveries: accrual-basis Trust Agreement calculations, municipal billings historically not collected in cash, and CILT offsets. Because the Trust Agreement defines Net Revenues as Revenues less Current Expenses, the treatment of those municipal billings may affect the numerator used in debt-service coverage calculations.</w:t>
      </w:r>
    </w:p>
    <w:p>
      <w:pPr>
        <w:spacing w:after="140" w:line="276" w:lineRule="auto"/>
      </w:pPr>
      <w:r>
        <w:t>A creditor reviewing the restructuring economics therefore may reasonably ask whether the recovery model treats municipal receivables as economically equivalent to collectible revenues or as constrained by offset practices that should affect Net Revenues. The answer may materially affect the apparent strength of competing claims.</w:t>
      </w:r>
    </w:p>
    <w:p>
      <w:pPr>
        <w:pStyle w:val="Heading2"/>
        <w:spacing w:before="280" w:after="140"/>
      </w:pPr>
      <w:r>
        <w:t>B. Why the Issue Is Material to Unsecured Creditors</w:t>
      </w:r>
    </w:p>
    <w:p>
      <w:pPr>
        <w:spacing w:after="140" w:line="276" w:lineRule="auto"/>
      </w:pPr>
      <w:r>
        <w:t>This issue matters to unsecured creditors because creditor recoveries depend on:</w:t>
      </w:r>
    </w:p>
    <w:p>
      <w:pPr>
        <w:pStyle w:val="ListNumber"/>
        <w:spacing w:line="276" w:lineRule="auto" w:after="140"/>
      </w:pPr>
      <w:r>
        <w:t>The size and strength of competing claims;</w:t>
      </w:r>
    </w:p>
    <w:p>
      <w:pPr>
        <w:pStyle w:val="ListNumber"/>
        <w:spacing w:line="276" w:lineRule="auto" w:after="140"/>
      </w:pPr>
      <w:r>
        <w:t>Priority assumptions;</w:t>
      </w:r>
    </w:p>
    <w:p>
      <w:pPr>
        <w:pStyle w:val="ListNumber"/>
        <w:spacing w:line="276" w:lineRule="auto" w:after="140"/>
      </w:pPr>
      <w:r>
        <w:t>Contractually supported bondholder recoveries;</w:t>
      </w:r>
    </w:p>
    <w:p>
      <w:pPr>
        <w:pStyle w:val="ListNumber"/>
        <w:spacing w:line="276" w:lineRule="auto" w:after="140"/>
      </w:pPr>
      <w:r>
        <w:t>Available estate value;</w:t>
      </w:r>
    </w:p>
    <w:p>
      <w:pPr>
        <w:pStyle w:val="ListNumber"/>
        <w:spacing w:line="276" w:lineRule="auto" w:after="140"/>
      </w:pPr>
      <w:r>
        <w:t>Settlement positions built upon assumed coverage and lien strength.</w:t>
      </w:r>
    </w:p>
    <w:p>
      <w:pPr>
        <w:spacing w:after="140" w:line="276" w:lineRule="auto"/>
      </w:pPr>
      <w:r>
        <w:t>If contractual treatment of CILT and related receivables materially affects the economics supporting competing creditor claims, unsecured creditor recoveries may also materially change.</w:t>
      </w:r>
    </w:p>
    <w:p>
      <w:pPr>
        <w:pStyle w:val="Heading2"/>
        <w:spacing w:before="280" w:after="140"/>
      </w:pPr>
      <w:r>
        <w:t>C. Why Courts Frequently Engage Contractual Accounting Questions</w:t>
      </w:r>
    </w:p>
    <w:p>
      <w:pPr>
        <w:spacing w:after="140" w:line="276" w:lineRule="auto"/>
      </w:pPr>
      <w:r>
        <w:t>Courts overseeing restructurings routinely resolve disputes involving:</w:t>
      </w:r>
    </w:p>
    <w:p>
      <w:pPr>
        <w:pStyle w:val="ListBullet"/>
        <w:spacing w:line="276" w:lineRule="auto" w:after="140"/>
      </w:pPr>
      <w:r>
        <w:t>waterfall interpretation;</w:t>
      </w:r>
    </w:p>
    <w:p>
      <w:pPr>
        <w:pStyle w:val="ListBullet"/>
        <w:spacing w:line="276" w:lineRule="auto" w:after="140"/>
      </w:pPr>
      <w:r>
        <w:t>Current Expense classifications;</w:t>
      </w:r>
    </w:p>
    <w:p>
      <w:pPr>
        <w:pStyle w:val="ListBullet"/>
        <w:spacing w:line="276" w:lineRule="auto" w:after="140"/>
      </w:pPr>
      <w:r>
        <w:t>revenue recognition assumptions;</w:t>
      </w:r>
    </w:p>
    <w:p>
      <w:pPr>
        <w:pStyle w:val="ListBullet"/>
        <w:spacing w:line="276" w:lineRule="auto" w:after="140"/>
      </w:pPr>
      <w:r>
        <w:t>lien scope;</w:t>
      </w:r>
    </w:p>
    <w:p>
      <w:pPr>
        <w:pStyle w:val="ListBullet"/>
        <w:spacing w:line="276" w:lineRule="auto" w:after="140"/>
      </w:pPr>
      <w:r>
        <w:t>claim priority;</w:t>
      </w:r>
    </w:p>
    <w:p>
      <w:pPr>
        <w:pStyle w:val="ListBullet"/>
        <w:spacing w:line="276" w:lineRule="auto" w:after="140"/>
      </w:pPr>
      <w:r>
        <w:t>debt-service methodologies.</w:t>
      </w:r>
    </w:p>
    <w:p>
      <w:pPr>
        <w:spacing w:after="140" w:line="276" w:lineRule="auto"/>
      </w:pPr>
      <w:r>
        <w:t>Accordingly, the issue presented here is not unusual merely because it involves accounting mechanics. Rather, contractual accounting issues frequently become outcome-determinative because relatively small definitional assumptions can materially affect creditor recoveries.</w:t>
      </w:r>
    </w:p>
    <w:p>
      <w:pPr>
        <w:spacing w:after="140" w:line="276" w:lineRule="auto"/>
      </w:pPr>
      <w:r>
        <w:t>If a court determines that contractual treatment of CILT materially alters debt-service coverage or claim economics, targeted correction would be an ordinary judicial response.</w:t>
      </w:r>
    </w:p>
    <w:p>
      <w:pPr>
        <w:pStyle w:val="Heading1"/>
        <w:spacing w:before="280" w:after="140"/>
      </w:pPr>
      <w:r>
        <w:t>V. The Half-Truth Problem: Why Disclosure Completeness Matters to Creditor Recoveries</w:t>
      </w:r>
    </w:p>
    <w:p>
      <w:pPr>
        <w:spacing w:after="140" w:line="276" w:lineRule="auto"/>
      </w:pPr>
      <w:r>
        <w:t>The issue presented here is not limited to historical accounting treatment. It also concerns whether creditor recovery assumptions may have inherited materially incomplete economic assumptions from prior debt-service coverage methodologies.</w:t>
      </w:r>
    </w:p>
    <w:p>
      <w:pPr>
        <w:spacing w:after="140" w:line="276" w:lineRule="auto"/>
      </w:pPr>
      <w:r>
        <w:t>At least some PREPA-related public disclosures:</w:t>
      </w:r>
    </w:p>
    <w:p>
      <w:pPr>
        <w:pStyle w:val="ListBullet"/>
        <w:spacing w:line="276" w:lineRule="auto" w:after="140"/>
      </w:pPr>
      <w:r>
        <w:t>included municipal receivables in Revenues and Net Revenue calculations;</w:t>
      </w:r>
    </w:p>
    <w:p>
      <w:pPr>
        <w:pStyle w:val="ListBullet"/>
        <w:spacing w:line="276" w:lineRule="auto" w:after="140"/>
      </w:pPr>
      <w:r>
        <w:t>recognized longstanding collection limitations or offset practices involving municipalities;</w:t>
      </w:r>
    </w:p>
    <w:p>
      <w:pPr>
        <w:pStyle w:val="ListBullet"/>
        <w:spacing w:line="276" w:lineRule="auto" w:after="140"/>
      </w:pPr>
      <w:r>
        <w:t>acknowledged the importance of those amounts to reported revenues and coverage metrics.</w:t>
      </w:r>
    </w:p>
    <w:p>
      <w:pPr>
        <w:spacing w:after="140" w:line="276" w:lineRule="auto"/>
      </w:pPr>
      <w:r>
        <w:t>The relevant creditor question is therefore not simply whether disclosures were technically accurate in isolated respects. The more important inquiry is:</w:t>
      </w:r>
    </w:p>
    <w:p>
      <w:pPr>
        <w:pStyle w:val="IntenseQuote"/>
        <w:spacing w:line="276" w:lineRule="auto" w:after="140"/>
        <w:ind w:left="504" w:right="360"/>
      </w:pPr>
      <w:r>
        <w:rPr>
          <w:i/>
        </w:rPr>
        <w:t>Whether creditors received a materially complete economic picture when viewed through the contractual framework governing Current Expenses, Net Revenues, and debt-service coverage.</w:t>
      </w:r>
    </w:p>
    <w:p>
      <w:pPr>
        <w:spacing w:after="140" w:line="276" w:lineRule="auto"/>
      </w:pPr>
      <w:r>
        <w:t>If municipal receivables were included in debt-service coverage calculations while the economic consequences of CILT offsets or longstanding collection limitations were not fully reflected in the contractual analysis, creditors may have received a materially incomplete picture of recovery economics.</w:t>
      </w:r>
    </w:p>
    <w:p>
      <w:pPr>
        <w:spacing w:after="140" w:line="276" w:lineRule="auto"/>
      </w:pPr>
      <w:r>
        <w:t>This is important because recovery assumptions embedded into current restructuring economics may reflect the same incomplete framework.</w:t>
      </w:r>
    </w:p>
    <w:p>
      <w:pPr>
        <w:pStyle w:val="IntenseQuote"/>
        <w:spacing w:line="276" w:lineRule="auto" w:after="140"/>
        <w:ind w:left="504" w:right="360"/>
      </w:pPr>
      <w:r>
        <w:rPr>
          <w:i/>
        </w:rPr>
        <w:t>If competing creditor recoveries were materially enhanced by assumptions inconsistent with the governing contractual framework, unsecured recoveries may have been correspondingly diluted.</w:t>
      </w:r>
    </w:p>
    <w:p>
      <w:pPr>
        <w:pStyle w:val="Heading2"/>
        <w:spacing w:before="280" w:after="140"/>
      </w:pPr>
      <w:r>
        <w:t>A. The Disclosure Completeness Issue</w:t>
      </w:r>
    </w:p>
    <w:p>
      <w:pPr>
        <w:spacing w:after="140" w:line="276" w:lineRule="auto"/>
      </w:pPr>
      <w:r>
        <w:t>The point is not that every disclosure was false. The point is that a disclosure can be technically accurate in one respect and still incomplete in economic substance if the limiting facts needed to understand the disclosure are not incorporated into the analysis that creditors use to evaluate recoveries.</w:t>
      </w:r>
    </w:p>
    <w:p>
      <w:pPr>
        <w:spacing w:after="140" w:line="276" w:lineRule="auto"/>
      </w:pPr>
      <w:r>
        <w:t>Here, the potentially incomplete picture arises from the combination of: (1) inclusion of municipal billings in Revenues and Net Revenues; (2) historical non-collection of those billings due to CILT offsets; (3) Trust Agreement dependence on Net Revenues after Current Expenses; and (4) debt-service coverage ratios that may have depended on those amounts.</w:t>
      </w:r>
    </w:p>
    <w:p>
      <w:pPr>
        <w:pStyle w:val="Heading2"/>
        <w:spacing w:before="280" w:after="140"/>
      </w:pPr>
      <w:r>
        <w:t>B. Why the Half-Truth Framework Is Creditor-Facing Rather Than Accusatory</w:t>
      </w:r>
    </w:p>
    <w:p>
      <w:pPr>
        <w:spacing w:after="140" w:line="276" w:lineRule="auto"/>
      </w:pPr>
      <w:r>
        <w:t>This memorandum uses the term half-truth in a narrow disclosure-economics sense. It does not ask creditors to conclude that any participant acted with improper motive. It asks whether the combination of disclosures and recovery assumptions gave creditors a materially complete picture of economic reality under the governing contract.</w:t>
      </w:r>
    </w:p>
    <w:p>
      <w:pPr>
        <w:spacing w:after="140" w:line="276" w:lineRule="auto"/>
      </w:pPr>
      <w:r>
        <w:t>That framing matters because it allows the issue to be evaluated by fiduciaries, professionals, and courts without requiring a threshold finding of fraud. A contract-compliant recalculation can be justified if the existing assumptions are incomplete, even without adjudicating intent.</w:t>
      </w:r>
    </w:p>
    <w:p>
      <w:pPr>
        <w:pStyle w:val="Heading1"/>
        <w:spacing w:before="280" w:after="140"/>
      </w:pPr>
      <w:r>
        <w:t>VI. Independent Corroboration from the 2013 PREPA Audit Commission Review</w:t>
      </w:r>
    </w:p>
    <w:p>
      <w:pPr>
        <w:spacing w:after="140" w:line="276" w:lineRule="auto"/>
      </w:pPr>
      <w:r>
        <w:t>The Puerto Rico Commission for the Comprehensive Audit of the Public Credit independently identified this issue for further review in its pre-audit report concerning PREPA's 2013 bond issuance.</w:t>
      </w:r>
    </w:p>
    <w:p>
      <w:pPr>
        <w:spacing w:after="140" w:line="276" w:lineRule="auto"/>
      </w:pPr>
      <w:r>
        <w:t>The Commission asked whether PREPA violated its Trust Agreement by projecting an inflated debt-coverage ratio and noted that PREPA included uncollected electricity charges in Net Revenues. It observed that this practice, together with other practices, made PREPA's Net Revenues appear higher relative to debt service than if uncollected receivables had not been included. Source: Puerto Rico Commission for the Comprehensive Audit of the Public Credit, Pre-audit Survey Report, PREPA Power Revenue Bonds Series 2013A, Executive Summary.</w:t>
      </w:r>
    </w:p>
    <w:p>
      <w:pPr>
        <w:spacing w:after="140" w:line="276" w:lineRule="auto"/>
      </w:pPr>
      <w:r>
        <w:t>The report further observed that, by excluding uncollected revenues, the required 120% coverage level was reportedly reached only once in the same ten-year period. It concluded that an auditor would have to determine whether PREPA properly included certain amounts in debt revenue calculations.</w:t>
      </w:r>
    </w:p>
    <w:p>
      <w:pPr>
        <w:spacing w:after="140" w:line="276" w:lineRule="auto"/>
      </w:pPr>
      <w:r>
        <w:t>Accordingly, the issue presented here is not novel and has already been independently flagged as potentially material to bondholder and creditor economics.</w:t>
      </w:r>
    </w:p>
    <w:p>
      <w:pPr>
        <w:pStyle w:val="Heading2"/>
        <w:spacing w:before="280" w:after="140"/>
      </w:pPr>
      <w:r>
        <w:t>A. Why Independent Corroboration Matters</w:t>
      </w:r>
    </w:p>
    <w:p>
      <w:pPr>
        <w:spacing w:after="140" w:line="276" w:lineRule="auto"/>
      </w:pPr>
      <w:r>
        <w:t>Independent corroboration changes the character of the issue. The question is no longer merely whether a single creditor or claimant has identified a theory. A public-credit audit body independently identified the same core concern: whether uncollected revenues affected debt coverage compliance.</w:t>
      </w:r>
    </w:p>
    <w:p>
      <w:pPr>
        <w:spacing w:after="140" w:line="276" w:lineRule="auto"/>
      </w:pPr>
      <w:r>
        <w:t>For creditor professionals, that matters because it reduces the risk of treating the issue as speculative. It also creates a due-diligence question: if an audit body already identified the issue, have current recovery assumptions independently tested it?</w:t>
      </w:r>
    </w:p>
    <w:p>
      <w:pPr>
        <w:pStyle w:val="Heading1"/>
        <w:spacing w:before="280" w:after="140"/>
      </w:pPr>
      <w:r>
        <w:t>VII. Likely Judicial Corrective Paths</w:t>
      </w:r>
    </w:p>
    <w:p>
      <w:pPr>
        <w:spacing w:after="140" w:line="276" w:lineRule="auto"/>
      </w:pPr>
      <w:r>
        <w:t>Courts overseeing complex restructurings generally seek targeted corrective solutions rather than systemic disruption.</w:t>
      </w:r>
    </w:p>
    <w:p>
      <w:pPr>
        <w:spacing w:after="140" w:line="276" w:lineRule="auto"/>
      </w:pPr>
      <w:r>
        <w:t>If a court determines that contractual treatment of CILT materially affects recovery assumptions, likely corrective paths may include:</w:t>
      </w:r>
    </w:p>
    <w:p>
      <w:pPr>
        <w:pStyle w:val="Heading2"/>
        <w:spacing w:before="280" w:after="140"/>
      </w:pPr>
      <w:r>
        <w:t>A. Contract-Compliant Recalculation</w:t>
      </w:r>
    </w:p>
    <w:p>
      <w:pPr>
        <w:spacing w:after="140" w:line="276" w:lineRule="auto"/>
      </w:pPr>
      <w:r>
        <w:t>The most likely initial judicial response would likely be targeted recalculation rather than broad structural relief. Courts frequently order recalculation where competing recovery assumptions depend on disputed contractual interpretation.</w:t>
      </w:r>
    </w:p>
    <w:p>
      <w:pPr>
        <w:spacing w:after="140" w:line="276" w:lineRule="auto"/>
      </w:pPr>
      <w:r>
        <w:t>Here, that could involve:</w:t>
      </w:r>
    </w:p>
    <w:p>
      <w:pPr>
        <w:pStyle w:val="ListBullet"/>
        <w:spacing w:line="276" w:lineRule="auto" w:after="140"/>
      </w:pPr>
      <w:r>
        <w:t>recalculation of historical debt-service coverage ratios;</w:t>
      </w:r>
    </w:p>
    <w:p>
      <w:pPr>
        <w:pStyle w:val="ListBullet"/>
        <w:spacing w:line="276" w:lineRule="auto" w:after="140"/>
      </w:pPr>
      <w:r>
        <w:t>reevaluation of Net Revenues under contract-compliant assumptions;</w:t>
      </w:r>
    </w:p>
    <w:p>
      <w:pPr>
        <w:pStyle w:val="ListBullet"/>
        <w:spacing w:line="276" w:lineRule="auto" w:after="140"/>
      </w:pPr>
      <w:r>
        <w:t>review of municipal receivable treatment;</w:t>
      </w:r>
    </w:p>
    <w:p>
      <w:pPr>
        <w:pStyle w:val="ListBullet"/>
        <w:spacing w:line="276" w:lineRule="auto" w:after="140"/>
      </w:pPr>
      <w:r>
        <w:t>reassessment of CILT offset methodology;</w:t>
      </w:r>
    </w:p>
    <w:p>
      <w:pPr>
        <w:pStyle w:val="ListBullet"/>
        <w:spacing w:line="276" w:lineRule="auto" w:after="140"/>
      </w:pPr>
      <w:r>
        <w:t>updated recovery modeling.</w:t>
      </w:r>
    </w:p>
    <w:p>
      <w:pPr>
        <w:spacing w:after="140" w:line="276" w:lineRule="auto"/>
      </w:pPr>
      <w:r>
        <w:t>Importantly, recalculation alone may materially affect settlement leverage, claim valuation, and creditor expectations even before final adjudication.</w:t>
      </w:r>
    </w:p>
    <w:p>
      <w:pPr>
        <w:pStyle w:val="Heading2"/>
        <w:spacing w:before="280" w:after="140"/>
      </w:pPr>
      <w:r>
        <w:t>B. Adjustment of Recovery Assumptions</w:t>
      </w:r>
    </w:p>
    <w:p>
      <w:pPr>
        <w:spacing w:after="140" w:line="276" w:lineRule="auto"/>
      </w:pPr>
      <w:r>
        <w:t>If contractual corrections materially affect lien strength or bondholder recovery assumptions, resulting adjustments to creditor recoveries may follow.</w:t>
      </w:r>
    </w:p>
    <w:p>
      <w:pPr>
        <w:pStyle w:val="ListBullet"/>
        <w:spacing w:line="276" w:lineRule="auto" w:after="140"/>
      </w:pPr>
      <w:r>
        <w:t>Bondholder recovery expectations;</w:t>
      </w:r>
    </w:p>
    <w:p>
      <w:pPr>
        <w:pStyle w:val="ListBullet"/>
        <w:spacing w:line="276" w:lineRule="auto" w:after="140"/>
      </w:pPr>
      <w:r>
        <w:t>Unsecured pool economics;</w:t>
      </w:r>
    </w:p>
    <w:p>
      <w:pPr>
        <w:pStyle w:val="ListBullet"/>
        <w:spacing w:line="276" w:lineRule="auto" w:after="140"/>
      </w:pPr>
      <w:r>
        <w:t>Settlement valuations;</w:t>
      </w:r>
    </w:p>
    <w:p>
      <w:pPr>
        <w:pStyle w:val="ListBullet"/>
        <w:spacing w:line="276" w:lineRule="auto" w:after="140"/>
      </w:pPr>
      <w:r>
        <w:t>Dividend timing and percentages.</w:t>
      </w:r>
    </w:p>
    <w:p>
      <w:pPr>
        <w:pStyle w:val="Heading2"/>
        <w:spacing w:before="280" w:after="140"/>
      </w:pPr>
      <w:r>
        <w:t>C. Expanded Discovery and Expert Review</w:t>
      </w:r>
    </w:p>
    <w:p>
      <w:pPr>
        <w:spacing w:after="140" w:line="276" w:lineRule="auto"/>
      </w:pPr>
      <w:r>
        <w:t>Courts may permit expanded discovery concerning:</w:t>
      </w:r>
    </w:p>
    <w:p>
      <w:pPr>
        <w:pStyle w:val="ListBullet"/>
        <w:spacing w:line="276" w:lineRule="auto" w:after="140"/>
      </w:pPr>
      <w:r>
        <w:t>Historical accounting treatment;</w:t>
      </w:r>
    </w:p>
    <w:p>
      <w:pPr>
        <w:pStyle w:val="ListBullet"/>
        <w:spacing w:line="276" w:lineRule="auto" w:after="140"/>
      </w:pPr>
      <w:r>
        <w:t>Municipal receivable practices;</w:t>
      </w:r>
    </w:p>
    <w:p>
      <w:pPr>
        <w:pStyle w:val="ListBullet"/>
        <w:spacing w:line="276" w:lineRule="auto" w:after="140"/>
      </w:pPr>
      <w:r>
        <w:t>CILT offsets;</w:t>
      </w:r>
    </w:p>
    <w:p>
      <w:pPr>
        <w:pStyle w:val="ListBullet"/>
        <w:spacing w:line="276" w:lineRule="auto" w:after="140"/>
      </w:pPr>
      <w:r>
        <w:t>Trust Agreement interpretation;</w:t>
      </w:r>
    </w:p>
    <w:p>
      <w:pPr>
        <w:pStyle w:val="ListBullet"/>
        <w:spacing w:line="276" w:lineRule="auto" w:after="140"/>
      </w:pPr>
      <w:r>
        <w:t>Historical coverage calculations;</w:t>
      </w:r>
    </w:p>
    <w:p>
      <w:pPr>
        <w:pStyle w:val="ListBullet"/>
        <w:spacing w:line="276" w:lineRule="auto" w:after="140"/>
      </w:pPr>
      <w:r>
        <w:t>Reliance assumptions embedded within restructuring models.</w:t>
      </w:r>
    </w:p>
    <w:p>
      <w:pPr>
        <w:pStyle w:val="Heading2"/>
        <w:spacing w:before="280" w:after="140"/>
      </w:pPr>
      <w:r>
        <w:t>D. Settlement-Driven Resolution</w:t>
      </w:r>
    </w:p>
    <w:p>
      <w:pPr>
        <w:spacing w:after="140" w:line="276" w:lineRule="auto"/>
      </w:pPr>
      <w:r>
        <w:t>In many restructuring contexts, parties confronted with material contractual uncertainty elect negotiated economic adjustments rather than prolonged litigation. Targeted settlements, reserve adjustments, or consensual reallocations often occur where litigation risk materially affects recovery certainty.</w:t>
      </w:r>
    </w:p>
    <w:p>
      <w:pPr>
        <w:pStyle w:val="Heading2"/>
        <w:spacing w:before="280" w:after="140"/>
      </w:pPr>
      <w:r>
        <w:t>E. Limited Corrective Relief Rather Than Structural Disruption</w:t>
      </w:r>
    </w:p>
    <w:p>
      <w:pPr>
        <w:spacing w:after="140" w:line="276" w:lineRule="auto"/>
      </w:pPr>
      <w:r>
        <w:t>Courts generally prefer narrow economic corrections over disruption of ongoing restructuring administration. Accordingly, the most likely judicial response to a material contractual issue would likely involve targeted recalculation, claim treatment adjustments, or negotiated economic solutions rather than destabilization of the broader PROMESA process.</w:t>
      </w:r>
    </w:p>
    <w:p>
      <w:pPr>
        <w:pStyle w:val="Heading1"/>
        <w:spacing w:before="280" w:after="140"/>
      </w:pPr>
      <w:r>
        <w:t>VIII. Illustrative Economic Consequences for the Unsecured Creditor Pool</w:t>
      </w:r>
    </w:p>
    <w:p>
      <w:pPr>
        <w:spacing w:after="140" w:line="276" w:lineRule="auto"/>
      </w:pPr>
      <w:r>
        <w:t>The economic significance of this issue depends upon judicial findings, contractual interpretation, and the extent to which current restructuring assumptions already account for CILT-related adjustments. The figures below are not presented as fixed valuations. They are directional illustrations of materiality under differing judicial corrective scenarios.</w:t>
      </w:r>
    </w:p>
    <w:tbl>
      <w:tblPr>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r/>
            <w:r>
              <w:rPr>
                <w:b/>
                <w:sz w:val="18"/>
              </w:rPr>
              <w:t>Scenario</w:t>
            </w:r>
          </w:p>
        </w:tc>
        <w:tc>
          <w:tcPr>
            <w:tcW w:type="dxa" w:w="2484"/>
            <w:vAlign w:val="top"/>
            <w:shd w:fill="D9EAF7"/>
          </w:tcPr>
          <w:p>
            <w:r/>
            <w:r>
              <w:rPr>
                <w:b/>
                <w:sz w:val="18"/>
              </w:rPr>
              <w:t>Possible Court Response</w:t>
            </w:r>
          </w:p>
        </w:tc>
        <w:tc>
          <w:tcPr>
            <w:tcW w:type="dxa" w:w="2484"/>
            <w:vAlign w:val="top"/>
            <w:shd w:fill="D9EAF7"/>
          </w:tcPr>
          <w:p>
            <w:r/>
            <w:r>
              <w:rPr>
                <w:b/>
                <w:sz w:val="18"/>
              </w:rPr>
              <w:t>Illustrative Impact</w:t>
            </w:r>
          </w:p>
        </w:tc>
        <w:tc>
          <w:tcPr>
            <w:tcW w:type="dxa" w:w="2484"/>
            <w:vAlign w:val="top"/>
            <w:shd w:fill="D9EAF7"/>
          </w:tcPr>
          <w:p>
            <w:r/>
            <w:r>
              <w:rPr>
                <w:b/>
                <w:sz w:val="18"/>
              </w:rPr>
              <w:t>Creditor Significance</w:t>
            </w:r>
          </w:p>
        </w:tc>
      </w:tr>
      <w:tr>
        <w:tc>
          <w:tcPr>
            <w:tcW w:type="dxa" w:w="2484"/>
            <w:vAlign w:val="top"/>
          </w:tcPr>
          <w:p>
            <w:r/>
            <w:r>
              <w:rPr>
                <w:b w:val="0"/>
                <w:sz w:val="18"/>
              </w:rPr>
              <w:t>A. Limited Contractual Correction</w:t>
            </w:r>
          </w:p>
        </w:tc>
        <w:tc>
          <w:tcPr>
            <w:tcW w:type="dxa" w:w="2484"/>
            <w:vAlign w:val="top"/>
          </w:tcPr>
          <w:p>
            <w:r/>
            <w:r>
              <w:rPr>
                <w:b w:val="0"/>
                <w:sz w:val="18"/>
              </w:rPr>
              <w:t>Targeted recalculation; selected municipal receivable adjustments; reserve or settlement adjustment.</w:t>
            </w:r>
          </w:p>
        </w:tc>
        <w:tc>
          <w:tcPr>
            <w:tcW w:type="dxa" w:w="2484"/>
            <w:vAlign w:val="top"/>
          </w:tcPr>
          <w:p>
            <w:r/>
            <w:r>
              <w:rPr>
                <w:b w:val="0"/>
                <w:sz w:val="18"/>
              </w:rPr>
              <w:t>$400M-$700M</w:t>
            </w:r>
          </w:p>
        </w:tc>
        <w:tc>
          <w:tcPr>
            <w:tcW w:type="dxa" w:w="2484"/>
            <w:vAlign w:val="top"/>
          </w:tcPr>
          <w:p>
            <w:r/>
            <w:r>
              <w:rPr>
                <w:b w:val="0"/>
                <w:sz w:val="18"/>
              </w:rPr>
              <w:t>Material but contained improvement in unsecured pool economics and settlement leverage.</w:t>
            </w:r>
          </w:p>
        </w:tc>
      </w:tr>
      <w:tr>
        <w:tc>
          <w:tcPr>
            <w:tcW w:type="dxa" w:w="2484"/>
            <w:vAlign w:val="top"/>
          </w:tcPr>
          <w:p>
            <w:r/>
            <w:r>
              <w:rPr>
                <w:b w:val="0"/>
                <w:sz w:val="18"/>
              </w:rPr>
              <w:t>B. Moderate Contractual Reallocation</w:t>
            </w:r>
          </w:p>
        </w:tc>
        <w:tc>
          <w:tcPr>
            <w:tcW w:type="dxa" w:w="2484"/>
            <w:vAlign w:val="top"/>
          </w:tcPr>
          <w:p>
            <w:r/>
            <w:r>
              <w:rPr>
                <w:b w:val="0"/>
                <w:sz w:val="18"/>
              </w:rPr>
              <w:t>Expert review; revised Net Revenue methodology; reassessment of competing creditor recoveries.</w:t>
            </w:r>
          </w:p>
        </w:tc>
        <w:tc>
          <w:tcPr>
            <w:tcW w:type="dxa" w:w="2484"/>
            <w:vAlign w:val="top"/>
          </w:tcPr>
          <w:p>
            <w:r/>
            <w:r>
              <w:rPr>
                <w:b w:val="0"/>
                <w:sz w:val="18"/>
              </w:rPr>
              <w:t>$700M-$1.5B</w:t>
            </w:r>
          </w:p>
        </w:tc>
        <w:tc>
          <w:tcPr>
            <w:tcW w:type="dxa" w:w="2484"/>
            <w:vAlign w:val="top"/>
          </w:tcPr>
          <w:p>
            <w:r/>
            <w:r>
              <w:rPr>
                <w:b w:val="0"/>
                <w:sz w:val="18"/>
              </w:rPr>
              <w:t>Meaningful change to recovery modeling, dividend expectations, and claim pricing.</w:t>
            </w:r>
          </w:p>
        </w:tc>
      </w:tr>
      <w:tr>
        <w:tc>
          <w:tcPr>
            <w:tcW w:type="dxa" w:w="2484"/>
            <w:vAlign w:val="top"/>
          </w:tcPr>
          <w:p>
            <w:r/>
            <w:r>
              <w:rPr>
                <w:b w:val="0"/>
                <w:sz w:val="18"/>
              </w:rPr>
              <w:t>C. Broad Contract-Compliant Correction</w:t>
            </w:r>
          </w:p>
        </w:tc>
        <w:tc>
          <w:tcPr>
            <w:tcW w:type="dxa" w:w="2484"/>
            <w:vAlign w:val="top"/>
          </w:tcPr>
          <w:p>
            <w:r/>
            <w:r>
              <w:rPr>
                <w:b w:val="0"/>
                <w:sz w:val="18"/>
              </w:rPr>
              <w:t>Accounting reconstruction; broader review of historical coverage; substantial economic reallocation.</w:t>
            </w:r>
          </w:p>
        </w:tc>
        <w:tc>
          <w:tcPr>
            <w:tcW w:type="dxa" w:w="2484"/>
            <w:vAlign w:val="top"/>
          </w:tcPr>
          <w:p>
            <w:r/>
            <w:r>
              <w:rPr>
                <w:b w:val="0"/>
                <w:sz w:val="18"/>
              </w:rPr>
              <w:t>$1.5B-$2.7B+</w:t>
            </w:r>
          </w:p>
        </w:tc>
        <w:tc>
          <w:tcPr>
            <w:tcW w:type="dxa" w:w="2484"/>
            <w:vAlign w:val="top"/>
          </w:tcPr>
          <w:p>
            <w:r/>
            <w:r>
              <w:rPr>
                <w:b w:val="0"/>
                <w:sz w:val="18"/>
              </w:rPr>
              <w:t>Potentially transformative change in unsecured pool economics if competing recoveries relied on incomplete assumptions.</w:t>
            </w:r>
          </w:p>
        </w:tc>
      </w:tr>
    </w:tbl>
    <w:p>
      <w:pPr>
        <w:pStyle w:val="Heading2"/>
        <w:spacing w:before="280" w:after="140"/>
      </w:pPr>
      <w:r>
        <w:t>Scenario 1 - Limited Contractual Correction</w:t>
      </w:r>
    </w:p>
    <w:p>
      <w:pPr>
        <w:spacing w:after="140" w:line="276" w:lineRule="auto"/>
      </w:pPr>
      <w:r>
        <w:t>Under a narrower judicial interpretation, courts may determine that only selected debt-service assumptions require adjustment. Even limited recalculations affecting lien strength, Net Revenues, or recoverable amounts could materially improve unsecured recoveries and dividend percentages. Under conservative assumptions, resulting economic consequences could involve several hundred million dollars in revised economics affecting unsecured stakeholders.</w:t>
      </w:r>
    </w:p>
    <w:p>
      <w:pPr>
        <w:spacing w:after="140" w:line="276" w:lineRule="auto"/>
      </w:pPr>
      <w:r>
        <w:t>This scenario would not require a court to invalidate bond debt or reopen every aspect of the restructuring. It would require only that the parties account for a material contractual adjustment. That is precisely why the scenario is important: even a limited correction can change settlement leverage.</w:t>
      </w:r>
    </w:p>
    <w:p>
      <w:pPr>
        <w:pStyle w:val="Heading2"/>
        <w:spacing w:before="280" w:after="140"/>
      </w:pPr>
      <w:r>
        <w:t>Scenario 2 - Moderate Recovery Reallocation</w:t>
      </w:r>
    </w:p>
    <w:p>
      <w:pPr>
        <w:spacing w:after="140" w:line="276" w:lineRule="auto"/>
      </w:pPr>
      <w:r>
        <w:t>If courts determine that historical debt-service coverage assumptions materially overstated competing creditor entitlement, broader claim valuation adjustments could follow. Under moderate assumptions, recovery reallocations may reasonably exceed $1 billion in changed recovery economics when evaluated across the duration and size of PREPA's restructuring.</w:t>
      </w:r>
    </w:p>
    <w:p>
      <w:pPr>
        <w:spacing w:after="140" w:line="276" w:lineRule="auto"/>
      </w:pPr>
      <w:r>
        <w:t>This scenario would likely involve expert proceedings, targeted discovery, revised coverage calculations, and negotiations among creditor constituencies. It may also affect how bondholder claims, unsecured claims, reserves, and settlement terms are priced.</w:t>
      </w:r>
    </w:p>
    <w:p>
      <w:pPr>
        <w:pStyle w:val="Heading2"/>
        <w:spacing w:before="280" w:after="140"/>
      </w:pPr>
      <w:r>
        <w:t>Scenario 3 - Broader Contract-Compliant Adjustment</w:t>
      </w:r>
    </w:p>
    <w:p>
      <w:pPr>
        <w:spacing w:after="140" w:line="276" w:lineRule="auto"/>
      </w:pPr>
      <w:r>
        <w:t>Under broader judicial findings, courts could conclude that historical assumptions materially overstated revenues available for debt service relative to contract-compliant treatment. Under this scenario, unsecured creditor recovery effects could potentially exceed $2 billion depending on treatment of competing claims, lien assumptions, duration of historical impact, interest calculations, settlement offsets, and resulting claim reprioritization.</w:t>
      </w:r>
    </w:p>
    <w:p>
      <w:pPr>
        <w:spacing w:after="140" w:line="276" w:lineRule="auto"/>
      </w:pPr>
      <w:r>
        <w:t>This scenario is not presented as the most certain outcome. It is presented because, in a restructuring of this size, a low-to-moderate probability but high-impact contractual issue can still justify immediate independent review.</w:t>
      </w:r>
    </w:p>
    <w:p>
      <w:pPr>
        <w:pStyle w:val="IntenseQuote"/>
        <w:spacing w:line="276" w:lineRule="auto" w:after="140"/>
        <w:ind w:left="504" w:right="360"/>
      </w:pPr>
      <w:r>
        <w:rPr>
          <w:i/>
        </w:rPr>
        <w:t>The principal point is not precision. The principal point is materiality.</w:t>
      </w:r>
    </w:p>
    <w:p>
      <w:pPr>
        <w:pStyle w:val="Heading1"/>
        <w:spacing w:before="280" w:after="140"/>
      </w:pPr>
      <w:r>
        <w:t>IX. Why the Issue Has Become Increasingly Difficult to Ignore</w:t>
      </w:r>
    </w:p>
    <w:p>
      <w:pPr>
        <w:spacing w:after="140" w:line="276" w:lineRule="auto"/>
      </w:pPr>
      <w:r>
        <w:t>Several developments suggest that independent evaluation may now be warranted:</w:t>
      </w:r>
    </w:p>
    <w:p>
      <w:pPr>
        <w:pStyle w:val="ListBullet"/>
        <w:spacing w:line="276" w:lineRule="auto" w:after="140"/>
      </w:pPr>
      <w:r>
        <w:t>Ongoing valuation and discovery disputes concerning PREPA claims;</w:t>
      </w:r>
    </w:p>
    <w:p>
      <w:pPr>
        <w:pStyle w:val="ListBullet"/>
        <w:spacing w:line="276" w:lineRule="auto" w:after="140"/>
      </w:pPr>
      <w:r>
        <w:t>Active litigation concerning creditor recoveries and restructuring assumptions;</w:t>
      </w:r>
    </w:p>
    <w:p>
      <w:pPr>
        <w:pStyle w:val="ListBullet"/>
        <w:spacing w:line="276" w:lineRule="auto" w:after="140"/>
      </w:pPr>
      <w:r>
        <w:t>Increasing attention to accounting, Net Revenue, and recovery methodologies in PROMESA proceedings;</w:t>
      </w:r>
    </w:p>
    <w:p>
      <w:pPr>
        <w:pStyle w:val="ListBullet"/>
        <w:spacing w:line="276" w:lineRule="auto" w:after="140"/>
      </w:pPr>
      <w:r>
        <w:t>Continuing economic consequences associated with delayed resolution;</w:t>
      </w:r>
    </w:p>
    <w:p>
      <w:pPr>
        <w:pStyle w:val="ListBullet"/>
        <w:spacing w:line="276" w:lineRule="auto" w:after="140"/>
      </w:pPr>
      <w:r>
        <w:t>Emerging appellate proceedings concerning procedural barriers affecting review of related contractual and evidentiary questions;</w:t>
      </w:r>
    </w:p>
    <w:p>
      <w:pPr>
        <w:pStyle w:val="ListBullet"/>
        <w:spacing w:line="276" w:lineRule="auto" w:after="140"/>
      </w:pPr>
      <w:r>
        <w:t>Independent public-credit audit materials identifying comparable coverage-ratio concerns.</w:t>
      </w:r>
    </w:p>
    <w:p>
      <w:pPr>
        <w:spacing w:after="140" w:line="276" w:lineRule="auto"/>
      </w:pPr>
      <w:r>
        <w:t>Whether one ultimately agrees or disagrees with the contractual interpretation advanced, the economic significance of the issue may justify independent review.</w:t>
      </w:r>
    </w:p>
    <w:p>
      <w:pPr>
        <w:pStyle w:val="Heading1"/>
        <w:spacing w:before="280" w:after="140"/>
      </w:pPr>
      <w:r>
        <w:t>X. Questions Creditors May Wish to Independently Evaluate</w:t>
      </w:r>
    </w:p>
    <w:p>
      <w:pPr>
        <w:pStyle w:val="ListNumber"/>
        <w:spacing w:line="276" w:lineRule="auto" w:after="140"/>
      </w:pPr>
      <w:r>
        <w:t>Have current recovery assumptions modeled contract-compliant treatment of CILT?</w:t>
      </w:r>
    </w:p>
    <w:p>
      <w:pPr>
        <w:pStyle w:val="ListNumber"/>
        <w:spacing w:line="276" w:lineRule="auto" w:after="140"/>
      </w:pPr>
      <w:r>
        <w:t>Have municipal receivables been evaluated under Trust Agreement standards rather than accounting conventions alone?</w:t>
      </w:r>
    </w:p>
    <w:p>
      <w:pPr>
        <w:pStyle w:val="ListNumber"/>
        <w:spacing w:line="276" w:lineRule="auto" w:after="140"/>
      </w:pPr>
      <w:r>
        <w:t>Would revised treatment materially alter bondholder recovery assumptions?</w:t>
      </w:r>
    </w:p>
    <w:p>
      <w:pPr>
        <w:pStyle w:val="ListNumber"/>
        <w:spacing w:line="276" w:lineRule="auto" w:after="140"/>
      </w:pPr>
      <w:r>
        <w:t>Could unsecured recoveries materially improve under alternative contractual assumptions?</w:t>
      </w:r>
    </w:p>
    <w:p>
      <w:pPr>
        <w:pStyle w:val="ListNumber"/>
        <w:spacing w:line="276" w:lineRule="auto" w:after="140"/>
      </w:pPr>
      <w:r>
        <w:t>Have time-value losses from prolonged delay been fully considered?</w:t>
      </w:r>
    </w:p>
    <w:p>
      <w:pPr>
        <w:pStyle w:val="ListNumber"/>
        <w:spacing w:line="276" w:lineRule="auto" w:after="140"/>
      </w:pPr>
      <w:r>
        <w:t>Would early engagement better protect creditor recoveries than delayed litigation?</w:t>
      </w:r>
    </w:p>
    <w:p>
      <w:pPr>
        <w:pStyle w:val="ListNumber"/>
        <w:spacing w:line="276" w:lineRule="auto" w:after="140"/>
      </w:pPr>
      <w:r>
        <w:t>Have creditors independently tested whether debt-service coverage ratios depended on amounts historically uncollected due to CILT offsets?</w:t>
      </w:r>
    </w:p>
    <w:p>
      <w:pPr>
        <w:pStyle w:val="ListNumber"/>
        <w:spacing w:line="276" w:lineRule="auto" w:after="140"/>
      </w:pPr>
      <w:r>
        <w:t>Has the UCC or any creditor professional modeled a sensitivity analysis that removes or discounts municipal receivables from Net Revenues?</w:t>
      </w:r>
    </w:p>
    <w:p>
      <w:pPr>
        <w:pStyle w:val="ListNumber"/>
        <w:spacing w:line="276" w:lineRule="auto" w:after="140"/>
      </w:pPr>
      <w:r>
        <w:t>Have settlement assumptions been stress-tested against the 2013 Audit Commission's observation that excluding uncollected revenues materially changed coverage compliance?</w:t>
      </w:r>
    </w:p>
    <w:p>
      <w:pPr>
        <w:pStyle w:val="Heading1"/>
        <w:spacing w:before="280" w:after="140"/>
      </w:pPr>
      <w:r>
        <w:t>XI. Fiduciary Considerations and Why Early Engagement May Matter</w:t>
      </w:r>
    </w:p>
    <w:p>
      <w:pPr>
        <w:spacing w:after="140" w:line="276" w:lineRule="auto"/>
      </w:pPr>
      <w:r>
        <w:t>The UCC and fiduciaries charged with maximizing creditor recoveries routinely evaluate material contractual issues before judicial resolution. This occurs because economics often move faster than courts.</w:t>
      </w:r>
    </w:p>
    <w:p>
      <w:pPr>
        <w:spacing w:after="140" w:line="276" w:lineRule="auto"/>
      </w:pPr>
      <w:r>
        <w:t>Earlier engagement may allow creditors to:</w:t>
      </w:r>
    </w:p>
    <w:p>
      <w:pPr>
        <w:pStyle w:val="ListBullet"/>
        <w:spacing w:line="276" w:lineRule="auto" w:after="140"/>
      </w:pPr>
      <w:r>
        <w:t>independently assess recovery implications;</w:t>
      </w:r>
    </w:p>
    <w:p>
      <w:pPr>
        <w:pStyle w:val="ListBullet"/>
        <w:spacing w:line="276" w:lineRule="auto" w:after="140"/>
      </w:pPr>
      <w:r>
        <w:t>evaluate settlement leverage;</w:t>
      </w:r>
    </w:p>
    <w:p>
      <w:pPr>
        <w:pStyle w:val="ListBullet"/>
        <w:spacing w:line="276" w:lineRule="auto" w:after="140"/>
      </w:pPr>
      <w:r>
        <w:t>preserve procedural optionality;</w:t>
      </w:r>
    </w:p>
    <w:p>
      <w:pPr>
        <w:pStyle w:val="ListBullet"/>
        <w:spacing w:line="276" w:lineRule="auto" w:after="140"/>
      </w:pPr>
      <w:r>
        <w:t>reduce delay-related economic losses;</w:t>
      </w:r>
    </w:p>
    <w:p>
      <w:pPr>
        <w:pStyle w:val="ListBullet"/>
        <w:spacing w:line="276" w:lineRule="auto" w:after="140"/>
      </w:pPr>
      <w:r>
        <w:t>avoid becoming dependent upon litigation outcomes occurring after restructuring economics become entrenched.</w:t>
      </w:r>
    </w:p>
    <w:p>
      <w:pPr>
        <w:spacing w:after="140" w:line="276" w:lineRule="auto"/>
      </w:pPr>
      <w:r>
        <w:t>No creditor is required to agree with the analysis presented here. However, the potential magnitude of the issue may justify independent review.</w:t>
      </w:r>
    </w:p>
    <w:p>
      <w:pPr>
        <w:spacing w:after="140" w:line="276" w:lineRule="auto"/>
      </w:pPr>
      <w:r>
        <w:t>From a fiduciary perspective, the relevant threshold is not whether the issue is certain to prevail. The threshold is whether the issue is sufficiently material, sufficiently grounded in governing documents, and sufficiently connected to recoveries that a prudent creditor representative should evaluate it before final economic positions harden.</w:t>
      </w:r>
    </w:p>
    <w:p>
      <w:pPr>
        <w:pStyle w:val="Heading1"/>
        <w:spacing w:before="280" w:after="140"/>
      </w:pPr>
      <w:r>
        <w:t>XII. Request for Engagement</w:t>
      </w:r>
    </w:p>
    <w:p>
      <w:pPr>
        <w:spacing w:after="140" w:line="276" w:lineRule="auto"/>
      </w:pPr>
      <w:r>
        <w:t>Interested unsecured creditors, professionals, fiduciaries, and members of the Official Committee of Unsecured Creditors are respectfully encouraged to independently evaluate:</w:t>
      </w:r>
    </w:p>
    <w:p>
      <w:pPr>
        <w:pStyle w:val="ListNumber"/>
        <w:spacing w:line="276" w:lineRule="auto" w:after="140"/>
      </w:pPr>
      <w:r>
        <w:t>Whether current recovery assumptions fully account for contract-compliant treatment of CILT;</w:t>
      </w:r>
    </w:p>
    <w:p>
      <w:pPr>
        <w:pStyle w:val="ListNumber"/>
        <w:spacing w:line="276" w:lineRule="auto" w:after="140"/>
      </w:pPr>
      <w:r>
        <w:t>Whether municipal receivables were treated consistently with the governing Trust Agreement;</w:t>
      </w:r>
    </w:p>
    <w:p>
      <w:pPr>
        <w:pStyle w:val="ListNumber"/>
        <w:spacing w:line="276" w:lineRule="auto" w:after="140"/>
      </w:pPr>
      <w:r>
        <w:t>Whether historical debt-service coverage assumptions materially affected present recovery expectations;</w:t>
      </w:r>
    </w:p>
    <w:p>
      <w:pPr>
        <w:pStyle w:val="ListNumber"/>
        <w:spacing w:line="276" w:lineRule="auto" w:after="140"/>
      </w:pPr>
      <w:r>
        <w:t>Whether unsecured recoveries may be materially understated;</w:t>
      </w:r>
    </w:p>
    <w:p>
      <w:pPr>
        <w:pStyle w:val="ListNumber"/>
        <w:spacing w:line="276" w:lineRule="auto" w:after="140"/>
      </w:pPr>
      <w:r>
        <w:t>Whether earlier engagement better protects creditor interests than delayed judicial resolution.</w:t>
      </w:r>
    </w:p>
    <w:p>
      <w:pPr>
        <w:spacing w:after="140" w:line="276" w:lineRule="auto"/>
      </w:pPr>
      <w:r>
        <w:t>The purpose of this memorandum is not to advocate a predetermined legal outcome. Its purpose is narrower:</w:t>
      </w:r>
    </w:p>
    <w:p>
      <w:pPr>
        <w:pStyle w:val="IntenseQuote"/>
        <w:spacing w:line="276" w:lineRule="auto" w:after="140"/>
        <w:ind w:left="504" w:right="360"/>
      </w:pPr>
      <w:r>
        <w:rPr>
          <w:i/>
        </w:rPr>
        <w:t>To encourage timely, independent review of potentially material contractual issues that may materially affect unsecured creditor recoveries.</w:t>
      </w:r>
    </w:p>
    <w:p>
      <w:pPr>
        <w:spacing w:after="140" w:line="276" w:lineRule="auto"/>
      </w:pPr>
      <w:r>
        <w:br w:type="page"/>
      </w:r>
    </w:p>
    <w:p>
      <w:pPr>
        <w:pStyle w:val="Heading1"/>
        <w:spacing w:before="280" w:after="140"/>
      </w:pPr>
      <w:r>
        <w:t>Appendix A - Key Contractual Provisions and Source Notes</w:t>
      </w:r>
    </w:p>
    <w:p>
      <w:pPr>
        <w:spacing w:after="140" w:line="276" w:lineRule="auto"/>
      </w:pPr>
      <w:r>
        <w:t>This appendix summarizes the principal Trust Agreement provisions relevant to the creditor-recovery question. The provisions should be reviewed directly in the Trust Agreement before any creditor or fiduciary reaches a final position.</w:t>
      </w:r>
    </w:p>
    <w:p>
      <w:pPr>
        <w:spacing w:after="140" w:line="276" w:lineRule="auto"/>
      </w:pPr>
      <w:r>
        <w:t>1. Net Revenues. The Trust Agreement defines Net Revenues as the excess of Revenues over Current Expenses for a particular period. Source: PREPA Trust Agreement, Article I, Section 101, definition of Net Revenues.</w:t>
      </w:r>
    </w:p>
    <w:p>
      <w:pPr>
        <w:spacing w:after="140" w:line="276" w:lineRule="auto"/>
      </w:pPr>
      <w:r>
        <w:t>2. Current Expenses. The Trust Agreement defines Current Expenses to include reasonable and necessary current expenses of maintaining, repairing, and operating the System, plus various administrative, legal, trustee, pension, and other expenses required by the Agreement or by law. Source: PREPA Trust Agreement, Article I, Section 101, definition of Current Expenses.</w:t>
      </w:r>
    </w:p>
    <w:p>
      <w:pPr>
        <w:spacing w:after="140" w:line="276" w:lineRule="auto"/>
      </w:pPr>
      <w:r>
        <w:t>3. Revenue and fund structure. Article V of the Trust Agreement addresses Revenues and Funds, including the General Fund, Annual Budget, Revenue Fund, Sinking Fund, and application of moneys. Source: PREPA Trust Agreement, Article V.</w:t>
      </w:r>
    </w:p>
    <w:p>
      <w:pPr>
        <w:spacing w:after="140" w:line="276" w:lineRule="auto"/>
      </w:pPr>
      <w:r>
        <w:t>4. Additional bond and coverage mechanics. The Trust Agreement requires certificates and estimates addressing Net Revenues and principal and interest requirements in connection with additional bonds and refunding bonds. Source: PREPA Trust Agreement, Sections 208-210.</w:t>
      </w:r>
    </w:p>
    <w:tbl>
      <w:tblPr>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b/>
                <w:sz w:val="18"/>
              </w:rPr>
              <w:t>Contractual Concept</w:t>
            </w:r>
          </w:p>
        </w:tc>
        <w:tc>
          <w:tcPr>
            <w:tcW w:type="dxa" w:w="3312"/>
            <w:vAlign w:val="top"/>
            <w:shd w:fill="D9EAF7"/>
          </w:tcPr>
          <w:p>
            <w:r/>
            <w:r>
              <w:rPr>
                <w:b/>
                <w:sz w:val="18"/>
              </w:rPr>
              <w:t>Why It Matters</w:t>
            </w:r>
          </w:p>
        </w:tc>
        <w:tc>
          <w:tcPr>
            <w:tcW w:type="dxa" w:w="3312"/>
            <w:vAlign w:val="top"/>
            <w:shd w:fill="D9EAF7"/>
          </w:tcPr>
          <w:p>
            <w:r/>
            <w:r>
              <w:rPr>
                <w:b/>
                <w:sz w:val="18"/>
              </w:rPr>
              <w:t>Recovery Significance</w:t>
            </w:r>
          </w:p>
        </w:tc>
      </w:tr>
      <w:tr>
        <w:tc>
          <w:tcPr>
            <w:tcW w:type="dxa" w:w="3312"/>
            <w:vAlign w:val="top"/>
          </w:tcPr>
          <w:p>
            <w:r/>
            <w:r>
              <w:rPr>
                <w:b w:val="0"/>
                <w:sz w:val="18"/>
              </w:rPr>
              <w:t>Current Expenses</w:t>
            </w:r>
          </w:p>
        </w:tc>
        <w:tc>
          <w:tcPr>
            <w:tcW w:type="dxa" w:w="3312"/>
            <w:vAlign w:val="top"/>
          </w:tcPr>
          <w:p>
            <w:r/>
            <w:r>
              <w:rPr>
                <w:b w:val="0"/>
                <w:sz w:val="18"/>
              </w:rPr>
              <w:t>Defines deductions before Net Revenues are determined.</w:t>
            </w:r>
          </w:p>
        </w:tc>
        <w:tc>
          <w:tcPr>
            <w:tcW w:type="dxa" w:w="3312"/>
            <w:vAlign w:val="top"/>
          </w:tcPr>
          <w:p>
            <w:r/>
            <w:r>
              <w:rPr>
                <w:b w:val="0"/>
                <w:sz w:val="18"/>
              </w:rPr>
              <w:t>Expense classification can change coverage and recovery assumptions.</w:t>
            </w:r>
          </w:p>
        </w:tc>
      </w:tr>
      <w:tr>
        <w:tc>
          <w:tcPr>
            <w:tcW w:type="dxa" w:w="3312"/>
            <w:vAlign w:val="top"/>
          </w:tcPr>
          <w:p>
            <w:r/>
            <w:r>
              <w:rPr>
                <w:b w:val="0"/>
                <w:sz w:val="18"/>
              </w:rPr>
              <w:t>Net Revenues</w:t>
            </w:r>
          </w:p>
        </w:tc>
        <w:tc>
          <w:tcPr>
            <w:tcW w:type="dxa" w:w="3312"/>
            <w:vAlign w:val="top"/>
          </w:tcPr>
          <w:p>
            <w:r/>
            <w:r>
              <w:rPr>
                <w:b w:val="0"/>
                <w:sz w:val="18"/>
              </w:rPr>
              <w:t>Defined as Revenues less Current Expenses.</w:t>
            </w:r>
          </w:p>
        </w:tc>
        <w:tc>
          <w:tcPr>
            <w:tcW w:type="dxa" w:w="3312"/>
            <w:vAlign w:val="top"/>
          </w:tcPr>
          <w:p>
            <w:r/>
            <w:r>
              <w:rPr>
                <w:b w:val="0"/>
                <w:sz w:val="18"/>
              </w:rPr>
              <w:t>Core numerator for coverage and debt-service analysis.</w:t>
            </w:r>
          </w:p>
        </w:tc>
      </w:tr>
      <w:tr>
        <w:tc>
          <w:tcPr>
            <w:tcW w:type="dxa" w:w="3312"/>
            <w:vAlign w:val="top"/>
          </w:tcPr>
          <w:p>
            <w:r/>
            <w:r>
              <w:rPr>
                <w:b w:val="0"/>
                <w:sz w:val="18"/>
              </w:rPr>
              <w:t>Revenue/Fund Waterfall</w:t>
            </w:r>
          </w:p>
        </w:tc>
        <w:tc>
          <w:tcPr>
            <w:tcW w:type="dxa" w:w="3312"/>
            <w:vAlign w:val="top"/>
          </w:tcPr>
          <w:p>
            <w:r/>
            <w:r>
              <w:rPr>
                <w:b w:val="0"/>
                <w:sz w:val="18"/>
              </w:rPr>
              <w:t>Governs flow of funds through accounts and payment priorities.</w:t>
            </w:r>
          </w:p>
        </w:tc>
        <w:tc>
          <w:tcPr>
            <w:tcW w:type="dxa" w:w="3312"/>
            <w:vAlign w:val="top"/>
          </w:tcPr>
          <w:p>
            <w:r/>
            <w:r>
              <w:rPr>
                <w:b w:val="0"/>
                <w:sz w:val="18"/>
              </w:rPr>
              <w:t>Determines which creditors benefit from particular revenue assumptions.</w:t>
            </w:r>
          </w:p>
        </w:tc>
      </w:tr>
      <w:tr>
        <w:tc>
          <w:tcPr>
            <w:tcW w:type="dxa" w:w="3312"/>
            <w:vAlign w:val="top"/>
          </w:tcPr>
          <w:p>
            <w:r/>
            <w:r>
              <w:rPr>
                <w:b w:val="0"/>
                <w:sz w:val="18"/>
              </w:rPr>
              <w:t>Coverage Mechanics</w:t>
            </w:r>
          </w:p>
        </w:tc>
        <w:tc>
          <w:tcPr>
            <w:tcW w:type="dxa" w:w="3312"/>
            <w:vAlign w:val="top"/>
          </w:tcPr>
          <w:p>
            <w:r/>
            <w:r>
              <w:rPr>
                <w:b w:val="0"/>
                <w:sz w:val="18"/>
              </w:rPr>
              <w:t>Supports additional bond issuance and investor expectations.</w:t>
            </w:r>
          </w:p>
        </w:tc>
        <w:tc>
          <w:tcPr>
            <w:tcW w:type="dxa" w:w="3312"/>
            <w:vAlign w:val="top"/>
          </w:tcPr>
          <w:p>
            <w:r/>
            <w:r>
              <w:rPr>
                <w:b w:val="0"/>
                <w:sz w:val="18"/>
              </w:rPr>
              <w:t>If coverage was inflated, recovery assumptions may require revision.</w:t>
            </w:r>
          </w:p>
        </w:tc>
      </w:tr>
    </w:tbl>
    <w:p>
      <w:pPr>
        <w:pStyle w:val="Heading1"/>
        <w:spacing w:before="280" w:after="140"/>
      </w:pPr>
      <w:r>
        <w:t>Appendix B - Official Statement Excerpts and Disclosure Significance</w:t>
      </w:r>
    </w:p>
    <w:p>
      <w:pPr>
        <w:spacing w:after="140" w:line="276" w:lineRule="auto"/>
      </w:pPr>
      <w:r>
        <w:t>The 2010 PREPA Official Statement disclosed that PREPA calculated Revenues, Current Expenses, and Net Revenues for purposes of the Trust Agreement on the accrual basis. It further disclosed that Revenues and Net Revenues included municipal energy billings that PREPA was legally entitled to collect but historically did not collect because those billings were offset against CILT.</w:t>
      </w:r>
    </w:p>
    <w:p>
      <w:pPr>
        <w:spacing w:after="140" w:line="276" w:lineRule="auto"/>
      </w:pPr>
      <w:r>
        <w:t>The same Official Statement disclosed that the amount of revenues attributable to municipal energy consumption and certain subsidies was approximately $224.7 million for fiscal year 2009 and approximately $150.3 million for the first eight months of fiscal year 2010.</w:t>
      </w:r>
    </w:p>
    <w:p>
      <w:pPr>
        <w:spacing w:after="140" w:line="276" w:lineRule="auto"/>
      </w:pPr>
      <w:r>
        <w:t>Disclosure significance: When these statements are read together with the Trust Agreement definition of Net Revenues as Revenues less Current Expenses, they raise a material question whether debt-service coverage and recovery assumptions reflected a complete picture of realizable revenues and contract-required expense treatment.</w:t>
      </w:r>
    </w:p>
    <w:tbl>
      <w:tblPr>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b/>
                <w:sz w:val="18"/>
              </w:rPr>
              <w:t>Disclosure / Contract Point</w:t>
            </w:r>
          </w:p>
        </w:tc>
        <w:tc>
          <w:tcPr>
            <w:tcW w:type="dxa" w:w="3312"/>
            <w:vAlign w:val="top"/>
            <w:shd w:fill="D9EAF7"/>
          </w:tcPr>
          <w:p>
            <w:r/>
            <w:r>
              <w:rPr>
                <w:b/>
                <w:sz w:val="18"/>
              </w:rPr>
              <w:t>Creditor Question</w:t>
            </w:r>
          </w:p>
        </w:tc>
        <w:tc>
          <w:tcPr>
            <w:tcW w:type="dxa" w:w="3312"/>
            <w:vAlign w:val="top"/>
            <w:shd w:fill="D9EAF7"/>
          </w:tcPr>
          <w:p>
            <w:r/>
            <w:r>
              <w:rPr>
                <w:b/>
                <w:sz w:val="18"/>
              </w:rPr>
              <w:t>Potential Effect</w:t>
            </w:r>
          </w:p>
        </w:tc>
      </w:tr>
      <w:tr>
        <w:tc>
          <w:tcPr>
            <w:tcW w:type="dxa" w:w="3312"/>
            <w:vAlign w:val="top"/>
          </w:tcPr>
          <w:p>
            <w:r/>
            <w:r>
              <w:rPr>
                <w:b w:val="0"/>
                <w:sz w:val="18"/>
              </w:rPr>
              <w:t>Official Statement included municipal billings in Revenues and Net Revenues.</w:t>
            </w:r>
          </w:p>
        </w:tc>
        <w:tc>
          <w:tcPr>
            <w:tcW w:type="dxa" w:w="3312"/>
            <w:vAlign w:val="top"/>
          </w:tcPr>
          <w:p>
            <w:r/>
            <w:r>
              <w:rPr>
                <w:b w:val="0"/>
                <w:sz w:val="18"/>
              </w:rPr>
              <w:t>Were those amounts economically realizable or merely legally collectible?</w:t>
            </w:r>
          </w:p>
        </w:tc>
        <w:tc>
          <w:tcPr>
            <w:tcW w:type="dxa" w:w="3312"/>
            <w:vAlign w:val="top"/>
          </w:tcPr>
          <w:p>
            <w:r/>
            <w:r>
              <w:rPr>
                <w:b w:val="0"/>
                <w:sz w:val="18"/>
              </w:rPr>
              <w:t>May alter coverage and recovery assumptions.</w:t>
            </w:r>
          </w:p>
        </w:tc>
      </w:tr>
      <w:tr>
        <w:tc>
          <w:tcPr>
            <w:tcW w:type="dxa" w:w="3312"/>
            <w:vAlign w:val="top"/>
          </w:tcPr>
          <w:p>
            <w:r/>
            <w:r>
              <w:rPr>
                <w:b w:val="0"/>
                <w:sz w:val="18"/>
              </w:rPr>
              <w:t>Municipal billings historically not collected because offset against CILT.</w:t>
            </w:r>
          </w:p>
        </w:tc>
        <w:tc>
          <w:tcPr>
            <w:tcW w:type="dxa" w:w="3312"/>
            <w:vAlign w:val="top"/>
          </w:tcPr>
          <w:p>
            <w:r/>
            <w:r>
              <w:rPr>
                <w:b w:val="0"/>
                <w:sz w:val="18"/>
              </w:rPr>
              <w:t>Should offsets be treated as limiting revenue or as Current Expense treatment?</w:t>
            </w:r>
          </w:p>
        </w:tc>
        <w:tc>
          <w:tcPr>
            <w:tcW w:type="dxa" w:w="3312"/>
            <w:vAlign w:val="top"/>
          </w:tcPr>
          <w:p>
            <w:r/>
            <w:r>
              <w:rPr>
                <w:b w:val="0"/>
                <w:sz w:val="18"/>
              </w:rPr>
              <w:t>May reduce Net Revenues available for debt service.</w:t>
            </w:r>
          </w:p>
        </w:tc>
      </w:tr>
      <w:tr>
        <w:tc>
          <w:tcPr>
            <w:tcW w:type="dxa" w:w="3312"/>
            <w:vAlign w:val="top"/>
          </w:tcPr>
          <w:p>
            <w:r/>
            <w:r>
              <w:rPr>
                <w:b w:val="0"/>
                <w:sz w:val="18"/>
              </w:rPr>
              <w:t>Approximately $224.7M disclosed for FY2009 municipal energy/subsidy amounts.</w:t>
            </w:r>
          </w:p>
        </w:tc>
        <w:tc>
          <w:tcPr>
            <w:tcW w:type="dxa" w:w="3312"/>
            <w:vAlign w:val="top"/>
          </w:tcPr>
          <w:p>
            <w:r/>
            <w:r>
              <w:rPr>
                <w:b w:val="0"/>
                <w:sz w:val="18"/>
              </w:rPr>
              <w:t>How material is this amount relative to coverage and debt service?</w:t>
            </w:r>
          </w:p>
        </w:tc>
        <w:tc>
          <w:tcPr>
            <w:tcW w:type="dxa" w:w="3312"/>
            <w:vAlign w:val="top"/>
          </w:tcPr>
          <w:p>
            <w:r/>
            <w:r>
              <w:rPr>
                <w:b w:val="0"/>
                <w:sz w:val="18"/>
              </w:rPr>
              <w:t>Could materially affect DSCR and claim strength.</w:t>
            </w:r>
          </w:p>
        </w:tc>
      </w:tr>
      <w:tr>
        <w:tc>
          <w:tcPr>
            <w:tcW w:type="dxa" w:w="3312"/>
            <w:vAlign w:val="top"/>
          </w:tcPr>
          <w:p>
            <w:r/>
            <w:r>
              <w:rPr>
                <w:b w:val="0"/>
                <w:sz w:val="18"/>
              </w:rPr>
              <w:t>Trust Agreement defines Net Revenues as Revenues minus Current Expenses.</w:t>
            </w:r>
          </w:p>
        </w:tc>
        <w:tc>
          <w:tcPr>
            <w:tcW w:type="dxa" w:w="3312"/>
            <w:vAlign w:val="top"/>
          </w:tcPr>
          <w:p>
            <w:r/>
            <w:r>
              <w:rPr>
                <w:b w:val="0"/>
                <w:sz w:val="18"/>
              </w:rPr>
              <w:t>Was CILT properly recognized before debt-service calculations?</w:t>
            </w:r>
          </w:p>
        </w:tc>
        <w:tc>
          <w:tcPr>
            <w:tcW w:type="dxa" w:w="3312"/>
            <w:vAlign w:val="top"/>
          </w:tcPr>
          <w:p>
            <w:r/>
            <w:r>
              <w:rPr>
                <w:b w:val="0"/>
                <w:sz w:val="18"/>
              </w:rPr>
              <w:t>Could require recalculation or reserve/settlement adjustment.</w:t>
            </w:r>
          </w:p>
        </w:tc>
      </w:tr>
    </w:tbl>
    <w:p>
      <w:pPr>
        <w:pStyle w:val="Heading1"/>
        <w:spacing w:before="280" w:after="140"/>
      </w:pPr>
      <w:r>
        <w:t>Appendix C - Independent Audit Corroboration</w:t>
      </w:r>
    </w:p>
    <w:p>
      <w:pPr>
        <w:spacing w:after="140" w:line="276" w:lineRule="auto"/>
      </w:pPr>
      <w:r>
        <w:t>The Puerto Rico Commission for the Comprehensive Audit of the Public Credit identified for further review whether PREPA violated its Trust Agreement by projecting an inflated debt-coverage ratio. The report noted that PREPA included uncollected electricity charges in Net Revenues and that this practice made coverage appear higher than it would have if uncollected receivables were excluded.</w:t>
      </w:r>
    </w:p>
    <w:p>
      <w:pPr>
        <w:spacing w:after="140" w:line="276" w:lineRule="auto"/>
      </w:pPr>
      <w:r>
        <w:t>The report further observed that, excluding uncollected revenues, PREPA reportedly reached the required 120% coverage threshold only once in the relevant ten-year period. This independent public-credit audit observation materially corroborates the need for creditor review.</w:t>
      </w:r>
    </w:p>
    <w:p>
      <w:pPr>
        <w:spacing w:after="140" w:line="276" w:lineRule="auto"/>
      </w:pPr>
      <w:r>
        <w:t>This independent corroboration does not prove the ultimate legal conclusion. It does, however, support the reasonableness of asking creditor fiduciaries to review the issue.</w:t>
      </w:r>
    </w:p>
    <w:p>
      <w:pPr>
        <w:pStyle w:val="Heading1"/>
        <w:spacing w:before="280" w:after="140"/>
      </w:pPr>
      <w:r>
        <w:t>Appendix D - Recovery Impact Methodology and Illustrative Economic Ranges</w:t>
      </w:r>
    </w:p>
    <w:p>
      <w:pPr>
        <w:spacing w:after="140" w:line="276" w:lineRule="auto"/>
      </w:pPr>
      <w:r>
        <w:t>The figures discussed in this memorandum are intended as directional illustrations rather than precise valuations. They are designed to demonstrate potential materiality under differing judicial responses.</w:t>
      </w:r>
    </w:p>
    <w:p>
      <w:pPr>
        <w:pStyle w:val="Heading2"/>
        <w:spacing w:before="280" w:after="140"/>
      </w:pPr>
      <w:r>
        <w:t>Scenario A - Limited Contractual Correction</w:t>
      </w:r>
    </w:p>
    <w:p>
      <w:pPr>
        <w:spacing w:after="140" w:line="276" w:lineRule="auto"/>
      </w:pPr>
      <w:r>
        <w:t>Illustrative unsecured impact: approximately $400M-$700M. Assumptions: narrow judicial interpretation; targeted recalculation; modest reduction in competing creditor recoveries; reserve and settlement adjustments. Illustrative consequence: Even modest corrections affecting bondholder recovery assumptions could materially increase the unsecured pool through reduced competing recoveries, reserve adjustments, or settlement incentives.</w:t>
      </w:r>
    </w:p>
    <w:p>
      <w:pPr>
        <w:pStyle w:val="Heading2"/>
        <w:spacing w:before="280" w:after="140"/>
      </w:pPr>
      <w:r>
        <w:t>Scenario B - Moderate Contractual Reallocation</w:t>
      </w:r>
    </w:p>
    <w:p>
      <w:pPr>
        <w:spacing w:after="140" w:line="276" w:lineRule="auto"/>
      </w:pPr>
      <w:r>
        <w:t>Illustrative unsecured impact: approximately $700M-$1.5B. Assumptions: material revision of coverage assumptions; broader reconsideration of Net Revenue treatment; partial reassessment of competing claim strength; increased settlement pressure. Illustrative consequence: Moderate judicial correction could materially expand unsecured recoveries through reduced competing claims, altered waterfall assumptions, and improved settlement positioning.</w:t>
      </w:r>
    </w:p>
    <w:p>
      <w:pPr>
        <w:pStyle w:val="Heading2"/>
        <w:spacing w:before="280" w:after="140"/>
      </w:pPr>
      <w:r>
        <w:t>Scenario C - Broad Contract-Compliant Correction</w:t>
      </w:r>
    </w:p>
    <w:p>
      <w:pPr>
        <w:spacing w:after="140" w:line="276" w:lineRule="auto"/>
      </w:pPr>
      <w:r>
        <w:t>Illustrative unsecured impact: approximately $1.5B-$2.7B+. Assumptions: broader determination that debt-service assumptions materially overstated revenues available for debt service; meaningful reassessment of competing recoveries; major restructuring of economic assumptions. Illustrative consequence: Broader contract-compliant correction could materially increase the unsecured creditor pool if competing recoveries were shown to have relied upon materially incomplete assumptions concerning revenues and contract-required expenses.</w:t>
      </w:r>
    </w:p>
    <w:p>
      <w:pPr>
        <w:pStyle w:val="Heading1"/>
        <w:spacing w:before="280" w:after="140"/>
      </w:pPr>
      <w:r>
        <w:t>Appendix E - Suggested Review Path for Creditors and Fiduciaries</w:t>
      </w:r>
    </w:p>
    <w:p>
      <w:pPr>
        <w:spacing w:after="140" w:line="276" w:lineRule="auto"/>
      </w:pPr>
      <w:r>
        <w:t>A practical review path could include the following steps:</w:t>
      </w:r>
    </w:p>
    <w:p>
      <w:pPr>
        <w:pStyle w:val="ListNumber"/>
        <w:spacing w:line="276" w:lineRule="auto" w:after="140"/>
      </w:pPr>
      <w:r>
        <w:t>Compare Trust Agreement definitions of Revenues, Current Expenses, and Net Revenues against the assumptions used in current recovery models.</w:t>
      </w:r>
    </w:p>
    <w:p>
      <w:pPr>
        <w:pStyle w:val="ListNumber"/>
        <w:spacing w:line="276" w:lineRule="auto" w:after="140"/>
      </w:pPr>
      <w:r>
        <w:t>Identify whether municipal receivables were included in Net Revenues for coverage or claim-strength purposes.</w:t>
      </w:r>
    </w:p>
    <w:p>
      <w:pPr>
        <w:pStyle w:val="ListNumber"/>
        <w:spacing w:line="276" w:lineRule="auto" w:after="140"/>
      </w:pPr>
      <w:r>
        <w:t>Determine whether those receivables were historically collected in cash or offset against CILT.</w:t>
      </w:r>
    </w:p>
    <w:p>
      <w:pPr>
        <w:pStyle w:val="ListNumber"/>
        <w:spacing w:line="276" w:lineRule="auto" w:after="140"/>
      </w:pPr>
      <w:r>
        <w:t>Model alternative coverage calculations excluding or discounting uncollected municipal receivables.</w:t>
      </w:r>
    </w:p>
    <w:p>
      <w:pPr>
        <w:pStyle w:val="ListNumber"/>
        <w:spacing w:line="276" w:lineRule="auto" w:after="140"/>
      </w:pPr>
      <w:r>
        <w:t>Assess whether recovery assumptions or settlement positions change materially under those alternatives.</w:t>
      </w:r>
    </w:p>
    <w:p>
      <w:pPr>
        <w:pStyle w:val="ListNumber"/>
        <w:spacing w:line="276" w:lineRule="auto" w:after="140"/>
      </w:pPr>
      <w:r>
        <w:t>Determine whether the UCC or creditor professionals should request clarification, expert review, reserve treatment, or negotiation.</w:t>
      </w:r>
    </w:p>
    <w:p>
      <w:pPr>
        <w:pStyle w:val="Heading1"/>
        <w:spacing w:before="280" w:after="140"/>
      </w:pPr>
      <w:r>
        <w:t>Final Observation</w:t>
      </w:r>
    </w:p>
    <w:p>
      <w:pPr>
        <w:spacing w:after="140" w:line="276" w:lineRule="auto"/>
      </w:pPr>
      <w:r>
        <w:t>This memorandum does not ask creditors to adopt any predetermined conclusion. Its request is narrower: that fiduciaries and creditors independently evaluate whether current recovery assumptions fully reflect the contractual framework governing PREPA revenues, Current Expenses, Net Revenues, and debt-service coverage.</w:t>
      </w:r>
    </w:p>
    <w:p>
      <w:pPr>
        <w:spacing w:after="140" w:line="276" w:lineRule="auto"/>
      </w:pPr>
      <w:r>
        <w:t>If the answer is yes, independent review will confirm current assumptions. If the answer is no, earlier engagement may materially improve creditor outcomes.</w:t>
      </w:r>
    </w:p>
    <w:p>
      <w:pPr>
        <w:spacing w:after="140" w:line="276" w:lineRule="auto"/>
      </w:pPr>
      <w:r>
        <w:br w:type="page"/>
      </w:r>
    </w:p>
    <w:p>
      <w:pPr>
        <w:pStyle w:val="Heading1"/>
        <w:spacing w:before="280" w:after="140"/>
      </w:pPr>
      <w:r>
        <w:t>Source Notes</w:t>
      </w:r>
    </w:p>
    <w:p>
      <w:pPr>
        <w:pStyle w:val="ListNumber"/>
        <w:spacing w:line="276" w:lineRule="auto" w:after="140"/>
      </w:pPr>
      <w:r>
        <w:t>PREPA Trust Agreement, dated January 1, 1974, as amended and supplemented through August 1, 2011, Article I, Section 101 (definitions of Current Expenses and Net Revenues).</w:t>
      </w:r>
    </w:p>
    <w:p>
      <w:pPr>
        <w:pStyle w:val="ListNumber"/>
        <w:spacing w:line="276" w:lineRule="auto" w:after="140"/>
      </w:pPr>
      <w:r>
        <w:t>PREPA Trust Agreement, Article V (Revenues and Funds, including General Fund, Annual Budget, Revenue Fund, Sinking Fund, and application of moneys).</w:t>
      </w:r>
    </w:p>
    <w:p>
      <w:pPr>
        <w:pStyle w:val="ListNumber"/>
        <w:spacing w:line="276" w:lineRule="auto" w:after="140"/>
      </w:pPr>
      <w:r>
        <w:t>PREPA 2010 Official Statement, Operating Results section (disclosure that Revenues and Net Revenues included municipal energy billings legally collectible but historically not collected because offset against CILT; disclosure of approximately $224.7 million for fiscal year 2009 and $150.3 million for first eight months of fiscal year 2010).</w:t>
      </w:r>
    </w:p>
    <w:p>
      <w:pPr>
        <w:pStyle w:val="ListNumber"/>
        <w:spacing w:line="276" w:lineRule="auto" w:after="140"/>
      </w:pPr>
      <w:r>
        <w:t>Puerto Rico Commission for the Comprehensive Audit of the Public Credit, Pre-audit Survey Report, PREPA Power Revenue Bonds Series 2013A (identifying for further review whether PREPA inflated debt coverage by including uncollected electricity charges in Net Revenues; noting that excluding uncollected revenues would have changed 120% coverage results).</w:t>
      </w:r>
    </w:p>
    <w:p>
      <w:pPr>
        <w:pStyle w:val="ListNumber"/>
        <w:spacing w:line="276" w:lineRule="auto" w:after="140"/>
      </w:pPr>
      <w:r>
        <w:t>Prior creditor engagement drafts uploaded in this conversation, including Ucc Cilt Engagement Memorandum Draft V1 and Final Ucc Cilt Creditor Memorandum Content, were used as structural source material for this integrated master draft.</w:t>
      </w:r>
    </w:p>
    <w:p>
      <w:pPr>
        <w:spacing w:line="276" w:lineRule="auto" w:after="140"/>
      </w:pPr>
      <w:r>
        <w:br w:type="page"/>
      </w:r>
    </w:p>
    <w:p>
      <w:pPr>
        <w:pStyle w:val="Heading1"/>
        <w:spacing w:before="280" w:after="140"/>
      </w:pPr>
      <w:r>
        <w:t>Supplemental Analysis: Why the Issue Is Operationally Actionable</w:t>
      </w:r>
    </w:p>
    <w:p>
      <w:pPr>
        <w:spacing w:line="276" w:lineRule="auto" w:after="140"/>
      </w:pPr>
      <w:r>
        <w:t>This memorandum is intended to support practical creditor review rather than abstract debate. The issue is operationally actionable because each step in the analysis can be tested against documents and financial models already central to the PREPA restructuring: the Trust Agreement, Official Statements, audited or unaudited financial schedules, coverage calculations, municipal receivable records, and expert recovery models.</w:t>
      </w:r>
    </w:p>
    <w:p>
      <w:pPr>
        <w:spacing w:line="276" w:lineRule="auto" w:after="140"/>
      </w:pPr>
      <w:r>
        <w:t>A creditor or committee professional does not need to resolve every merits issue before beginning review. The initial task is more limited: determine whether current recovery models include a sensitivity analysis for municipal receivables that were legally billable but historically not collected because of CILT offsets. If no such sensitivity exists, the omission itself may be economically significant.</w:t>
      </w:r>
    </w:p>
    <w:p>
      <w:pPr>
        <w:spacing w:line="276" w:lineRule="auto" w:after="140"/>
      </w:pPr>
      <w:r>
        <w:t>A disciplined review could proceed in stages. First, isolate the amount of municipal receivables included in Trust Agreement Revenues and Net Revenues for each relevant fiscal year. Second, determine whether those amounts were collected in cash, offset against CILT, written down, aged, or otherwise treated differently from ordinary customer receivables. Third, recalculate Net Revenues and coverage ratios using alternative assumptions. Fourth, assess whether those alternative assumptions would have changed bondholder claim strength, settlement posture, or allocation to unsecured creditors.</w:t>
      </w:r>
    </w:p>
    <w:p>
      <w:pPr>
        <w:pStyle w:val="Heading2"/>
        <w:spacing w:before="280" w:after="140"/>
      </w:pPr>
      <w:r>
        <w:t>A. Why This Does Not Require Immediate Litigation</w:t>
      </w:r>
    </w:p>
    <w:p>
      <w:pPr>
        <w:spacing w:line="276" w:lineRule="auto" w:after="140"/>
      </w:pPr>
      <w:r>
        <w:t>The UCC and creditors can evaluate this issue without commencing new litigation. Independent review can occur through ordinary professional diligence, financial modeling, committee inquiry, or informal engagement with parties already participating in the restructuring. A litigation filing becomes only one possible later step, not the first or necessary step.</w:t>
      </w:r>
    </w:p>
    <w:p>
      <w:pPr>
        <w:spacing w:line="276" w:lineRule="auto" w:after="140"/>
      </w:pPr>
      <w:r>
        <w:t>This is important because the strongest creditor-facing posture is review before escalation. A request for review is more defensible than a demand for immediate relief. It allows fiduciaries to determine whether the issue affects recoveries before choosing a procedural vehicle.</w:t>
      </w:r>
    </w:p>
    <w:p>
      <w:pPr>
        <w:pStyle w:val="Heading2"/>
        <w:spacing w:before="280" w:after="140"/>
      </w:pPr>
      <w:r>
        <w:t>B. Why the Issue May Affect Settlement Even Before a Court Rules</w:t>
      </w:r>
    </w:p>
    <w:p>
      <w:pPr>
        <w:spacing w:line="276" w:lineRule="auto" w:after="140"/>
      </w:pPr>
      <w:r>
        <w:t>In large restructurings, settlement value is often affected by the probability of targeted adverse rulings, not only by final judgments. If a contractual issue could force recalculation, expert discovery, reserve adjustments, or narrowing of competing recovery assumptions, parties may adjust settlement behavior before the court reaches a final merits decision.</w:t>
      </w:r>
    </w:p>
    <w:p>
      <w:pPr>
        <w:spacing w:line="276" w:lineRule="auto" w:after="140"/>
      </w:pPr>
      <w:r>
        <w:t>For that reason, the $400 million to $2.7 billion range should not be read as a guaranteed recovery number. It should be read as a settlement-risk range tied to different levels of judicial engagement. Even a limited correction may alter bargaining leverage; a moderate correction may change claim pricing; and a broad correction may affect the allocation architecture of the restructuring.</w:t>
      </w:r>
    </w:p>
    <w:p>
      <w:pPr>
        <w:pStyle w:val="Heading1"/>
        <w:spacing w:before="280" w:after="140"/>
      </w:pPr>
      <w:r>
        <w:t>Supplemental Analysis: Fiduciary Framing for the UCC</w:t>
      </w:r>
    </w:p>
    <w:p>
      <w:pPr>
        <w:spacing w:line="276" w:lineRule="auto" w:after="140"/>
      </w:pPr>
      <w:r>
        <w:t>The UCC does not need to advocate the position presented in this memorandum to justify reviewing it. The committee need only recognize that a potentially material contractual issue affecting unsecured recoveries has been identified and that the issue is supported by specific Trust Agreement language, public offering disclosures, and independent audit-related observations.</w:t>
      </w:r>
    </w:p>
    <w:p>
      <w:pPr>
        <w:spacing w:line="276" w:lineRule="auto" w:after="140"/>
      </w:pPr>
      <w:r>
        <w:t>A reasonable fiduciary review would ask whether the issue is material, whether it is grounded in governing documents, whether the economic effect is large enough to warrant modeling, and whether delay could prejudice creditor recoveries. Those questions are distinct from the ultimate merits.</w:t>
      </w:r>
    </w:p>
    <w:p>
      <w:pPr>
        <w:spacing w:line="276" w:lineRule="auto" w:after="140"/>
      </w:pPr>
      <w:r>
        <w:t>The fiduciary significance increases where a large dollar amount is tied to a limited legal question. Here, the threshold question is not whether the entire PREPA restructuring is invalid. It is whether certain revenues and offsets were properly treated for purposes of Net Revenues and debt-service coverage. A narrow question can still have large economic consequences.</w:t>
      </w:r>
    </w:p>
    <w:p>
      <w:pPr>
        <w:pStyle w:val="Heading2"/>
        <w:spacing w:before="280" w:after="140"/>
      </w:pPr>
      <w:r>
        <w:t>A. Suggested Committee-Level Questions</w:t>
      </w:r>
    </w:p>
    <w:p>
      <w:pPr>
        <w:pStyle w:val="ListNumber"/>
        <w:spacing w:line="276" w:lineRule="auto" w:after="140"/>
      </w:pPr>
      <w:r>
        <w:t>Has the UCC reviewed the Trust Agreement definition of Current Expenses and Net Revenues in connection with municipal receivable treatment?</w:t>
      </w:r>
    </w:p>
    <w:p>
      <w:pPr>
        <w:pStyle w:val="ListNumber"/>
        <w:spacing w:line="276" w:lineRule="auto" w:after="140"/>
      </w:pPr>
      <w:r>
        <w:t>Has any professional modeled coverage ratios excluding or discounting municipal receivables that were historically offset against CILT?</w:t>
      </w:r>
    </w:p>
    <w:p>
      <w:pPr>
        <w:pStyle w:val="ListNumber"/>
        <w:spacing w:line="276" w:lineRule="auto" w:after="140"/>
      </w:pPr>
      <w:r>
        <w:t>Has any recovery analysis tested whether the bondholder recovery model depends on the inclusion of non-cash or offset receivables?</w:t>
      </w:r>
    </w:p>
    <w:p>
      <w:pPr>
        <w:pStyle w:val="ListNumber"/>
        <w:spacing w:line="276" w:lineRule="auto" w:after="140"/>
      </w:pPr>
      <w:r>
        <w:t>Has the UCC considered whether a reserve, expert review, or targeted inquiry is warranted before final creditor recoveries are fixed?</w:t>
      </w:r>
    </w:p>
    <w:p>
      <w:pPr>
        <w:pStyle w:val="ListNumber"/>
        <w:spacing w:line="276" w:lineRule="auto" w:after="140"/>
      </w:pPr>
      <w:r>
        <w:t>Has the committee assessed whether delayed review could reduce leverage or increase time-value losses for unsecured creditors?</w:t>
      </w:r>
    </w:p>
    <w:p>
      <w:pPr>
        <w:pStyle w:val="Heading2"/>
        <w:spacing w:before="280" w:after="140"/>
      </w:pPr>
      <w:r>
        <w:t>B. Suggested Professional Workstream</w:t>
      </w:r>
    </w:p>
    <w:p>
      <w:pPr>
        <w:pStyle w:val="ListBullet"/>
        <w:spacing w:line="276" w:lineRule="auto" w:after="140"/>
      </w:pPr>
      <w:r>
        <w:t>Legal review of Trust Agreement definitions and waterfall provisions.</w:t>
      </w:r>
    </w:p>
    <w:p>
      <w:pPr>
        <w:pStyle w:val="ListBullet"/>
        <w:spacing w:line="276" w:lineRule="auto" w:after="140"/>
      </w:pPr>
      <w:r>
        <w:t>Accounting review of municipal receivable treatment by fiscal year.</w:t>
      </w:r>
    </w:p>
    <w:p>
      <w:pPr>
        <w:pStyle w:val="ListBullet"/>
        <w:spacing w:line="276" w:lineRule="auto" w:after="140"/>
      </w:pPr>
      <w:r>
        <w:t>Coverage-ratio reconstruction with and without disputed municipal receivables.</w:t>
      </w:r>
    </w:p>
    <w:p>
      <w:pPr>
        <w:pStyle w:val="ListBullet"/>
        <w:spacing w:line="276" w:lineRule="auto" w:after="140"/>
      </w:pPr>
      <w:r>
        <w:t>Recovery sensitivity modeling for unsecured creditors.</w:t>
      </w:r>
    </w:p>
    <w:p>
      <w:pPr>
        <w:pStyle w:val="ListBullet"/>
        <w:spacing w:line="276" w:lineRule="auto" w:after="140"/>
      </w:pPr>
      <w:r>
        <w:t>Procedural review of available mechanisms for inquiry, reserve treatment, or negotiated adjustment.</w:t>
      </w:r>
    </w:p>
    <w:p>
      <w:pPr>
        <w:pStyle w:val="Heading1"/>
        <w:spacing w:before="280" w:after="140"/>
      </w:pPr>
      <w:r>
        <w:t>Supplemental Analysis: How the Court Could Address the Issue Without Disrupting PROMESA</w:t>
      </w:r>
    </w:p>
    <w:p>
      <w:pPr>
        <w:spacing w:line="276" w:lineRule="auto" w:after="140"/>
      </w:pPr>
      <w:r>
        <w:t>A court need not disrupt the entire PROMESA process to address the issue. Courts in complex restructurings often isolate disputed inputs, order targeted expert review, require supplemental calculations, approve reserves, or encourage settlement around disputed economic assumptions. That type of narrow procedural correction is consistent with efficient case administration.</w:t>
      </w:r>
    </w:p>
    <w:p>
      <w:pPr>
        <w:spacing w:line="276" w:lineRule="auto" w:after="140"/>
      </w:pPr>
      <w:r>
        <w:t>The likely corrective architecture would be practical rather than dramatic. The court could ask whether the relevant coverage calculations remain valid if municipal receivables historically offset against CILT are excluded, discounted, or treated differently. The court could then determine whether any adjustment affects claim treatment, settlement value, or unsecured creditor recoveries.</w:t>
      </w:r>
    </w:p>
    <w:p>
      <w:pPr>
        <w:spacing w:line="276" w:lineRule="auto" w:after="140"/>
      </w:pPr>
      <w:r>
        <w:t>This narrower approach is precisely why creditor engagement is warranted now. If the issue can be addressed through targeted recalculation or settlement adjustment, delay is unnecessary and potentially costly.</w:t>
      </w:r>
    </w:p>
    <w:p>
      <w:pPr>
        <w:pStyle w:val="Heading2"/>
        <w:spacing w:before="280" w:after="140"/>
      </w:pPr>
      <w:r>
        <w:t>A. Possible Non-Disruptive Remedies</w:t>
      </w:r>
    </w:p>
    <w:p>
      <w:pPr>
        <w:pStyle w:val="ListBullet"/>
        <w:spacing w:line="276" w:lineRule="auto" w:after="140"/>
      </w:pPr>
      <w:r>
        <w:t>Targeted recalculation of Net Revenues and DSCR.</w:t>
      </w:r>
    </w:p>
    <w:p>
      <w:pPr>
        <w:pStyle w:val="ListBullet"/>
        <w:spacing w:line="276" w:lineRule="auto" w:after="140"/>
      </w:pPr>
      <w:r>
        <w:t>Expert report limited to municipal receivable and CILT treatment.</w:t>
      </w:r>
    </w:p>
    <w:p>
      <w:pPr>
        <w:pStyle w:val="ListBullet"/>
        <w:spacing w:line="276" w:lineRule="auto" w:after="140"/>
      </w:pPr>
      <w:r>
        <w:t>Reserve pending resolution of disputed coverage assumptions.</w:t>
      </w:r>
    </w:p>
    <w:p>
      <w:pPr>
        <w:pStyle w:val="ListBullet"/>
        <w:spacing w:line="276" w:lineRule="auto" w:after="140"/>
      </w:pPr>
      <w:r>
        <w:t>Stipulated sensitivity modeling among parties.</w:t>
      </w:r>
    </w:p>
    <w:p>
      <w:pPr>
        <w:pStyle w:val="ListBullet"/>
        <w:spacing w:line="276" w:lineRule="auto" w:after="140"/>
      </w:pPr>
      <w:r>
        <w:t>Settlement adjustment reflecting litigation risk.</w:t>
      </w:r>
    </w:p>
    <w:p>
      <w:pPr>
        <w:pStyle w:val="ListBullet"/>
        <w:spacing w:line="276" w:lineRule="auto" w:after="140"/>
      </w:pPr>
      <w:r>
        <w:t>Clarification that current recovery assumptions are without prejudice to later correction if the disputed inputs prove material.</w:t>
      </w:r>
    </w:p>
    <w:p>
      <w:pPr>
        <w:pStyle w:val="Heading2"/>
        <w:spacing w:before="280" w:after="140"/>
      </w:pPr>
      <w:r>
        <w:t>B. Why This Matters to Other Creditors</w:t>
      </w:r>
    </w:p>
    <w:p>
      <w:pPr>
        <w:spacing w:line="276" w:lineRule="auto" w:after="140"/>
      </w:pPr>
      <w:r>
        <w:t>Other unsecured creditors may not share the same litigation posture or factual history as any individual claimant. But they share the same economic environment: if the unsecured pool is understated because competing claims are valued on incomplete contractual assumptions, all unsecured creditors may be affected. That is why the issue belongs in a creditor-facing memorandum and not solely in a litigant-specific filing.</w:t>
      </w:r>
    </w:p>
    <w:sectPr w:rsidR="00FC693F" w:rsidRPr="0006063C" w:rsidSect="00034616">
      <w:footerReference w:type="default" r:id="rId9"/>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b/>
      <w:bCs/>
      <w:i/>
      <w:iCs/>
      <w:color w:val="4F81BD" w:themeColor="accent1"/>
      <w:sz w:val="2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