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5356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RICHARD R. LAWLESS</w:t>
      </w:r>
    </w:p>
    <w:p w14:paraId="3405F3F8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Memorandum Regarding PREPA PPOA Current Expense Treatment and Structural Risks in the Existing Settlement Framework</w:t>
      </w:r>
    </w:p>
    <w:p w14:paraId="636D2FF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1C4EA0">
        <w:rPr>
          <w:rFonts w:ascii="Times New Roman" w:hAnsi="Times New Roman" w:cs="Times New Roman"/>
          <w:sz w:val="28"/>
          <w:szCs w:val="28"/>
        </w:rPr>
        <w:t xml:space="preserve"> June __, 2026</w:t>
      </w:r>
      <w:r w:rsidRPr="001C4EA0">
        <w:rPr>
          <w:rFonts w:ascii="Times New Roman" w:hAnsi="Times New Roman" w:cs="Times New Roman"/>
          <w:sz w:val="28"/>
          <w:szCs w:val="28"/>
        </w:rPr>
        <w:br/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Submitted To:</w:t>
      </w:r>
      <w:r w:rsidRPr="001C4EA0">
        <w:rPr>
          <w:rFonts w:ascii="Times New Roman" w:hAnsi="Times New Roman" w:cs="Times New Roman"/>
          <w:sz w:val="28"/>
          <w:szCs w:val="28"/>
        </w:rPr>
        <w:t xml:space="preserve"> Financial Oversight and Management Board for Puerto Rico (“FOMB”)</w:t>
      </w:r>
      <w:r w:rsidRPr="001C4EA0">
        <w:rPr>
          <w:rFonts w:ascii="Times New Roman" w:hAnsi="Times New Roman" w:cs="Times New Roman"/>
          <w:sz w:val="28"/>
          <w:szCs w:val="28"/>
        </w:rPr>
        <w:br/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Related Proceedings:</w:t>
      </w:r>
      <w:r w:rsidRPr="001C4EA0">
        <w:rPr>
          <w:rFonts w:ascii="Times New Roman" w:hAnsi="Times New Roman" w:cs="Times New Roman"/>
          <w:sz w:val="28"/>
          <w:szCs w:val="28"/>
        </w:rPr>
        <w:t xml:space="preserve"> In re Puerto Rico Electric Power Authority, Case No. 17-BK-4780-LTS</w:t>
      </w:r>
    </w:p>
    <w:p w14:paraId="6ED5B30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638558FF">
          <v:rect id="_x0000_i1025" style="width:0;height:1.5pt" o:hralign="center" o:hrstd="t" o:hr="t" fillcolor="#a0a0a0" stroked="f"/>
        </w:pict>
      </w:r>
    </w:p>
    <w:p w14:paraId="1742ECE4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7D86A158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This memorandum addresses a material legal and economic issue affecting the fairness, feasibility, and confirmability of the current PREPA restructuring framework: whether PREPA’s obligations under renewable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Power Purchase and Operating Agreements (“PPOAs”)</w:t>
      </w:r>
      <w:r w:rsidRPr="001C4EA0">
        <w:rPr>
          <w:rFonts w:ascii="Times New Roman" w:hAnsi="Times New Roman" w:cs="Times New Roman"/>
          <w:sz w:val="28"/>
          <w:szCs w:val="28"/>
        </w:rPr>
        <w:t xml:space="preserve"> constitute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</w:t>
      </w:r>
      <w:r w:rsidRPr="001C4EA0">
        <w:rPr>
          <w:rFonts w:ascii="Times New Roman" w:hAnsi="Times New Roman" w:cs="Times New Roman"/>
          <w:sz w:val="28"/>
          <w:szCs w:val="28"/>
        </w:rPr>
        <w:t xml:space="preserve"> entitled to payment priority before bondholder recoveries.</w:t>
      </w:r>
    </w:p>
    <w:p w14:paraId="30E8A7DA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issue is not hypothetical.</w:t>
      </w:r>
    </w:p>
    <w:p w14:paraId="687C2BD6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PREPA’s PPOAs—particularly the Blue Beetle III PPOA and its First Amendment—contain contractual language demonstrating that PREPA viewed renewable energy facilities as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integrated operational assets necessary for the ongoing production and delivery of electricity</w:t>
      </w:r>
      <w:r w:rsidRPr="001C4EA0">
        <w:rPr>
          <w:rFonts w:ascii="Times New Roman" w:hAnsi="Times New Roman" w:cs="Times New Roman"/>
          <w:sz w:val="28"/>
          <w:szCs w:val="28"/>
        </w:rPr>
        <w:t>, not merely discretionary contractual relationships or unsecured liabilities.</w:t>
      </w:r>
    </w:p>
    <w:p w14:paraId="7EAAA22E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 contractual structure reflects obligations characteristic of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utility operating expenses</w:t>
      </w:r>
      <w:r w:rsidRPr="001C4EA0">
        <w:rPr>
          <w:rFonts w:ascii="Times New Roman" w:hAnsi="Times New Roman" w:cs="Times New Roman"/>
          <w:sz w:val="28"/>
          <w:szCs w:val="28"/>
        </w:rPr>
        <w:t>, including:</w:t>
      </w:r>
    </w:p>
    <w:p w14:paraId="731CBF0F" w14:textId="77777777" w:rsidR="00B72082" w:rsidRPr="001C4EA0" w:rsidRDefault="00B72082" w:rsidP="00B720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designation of facilities as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“must run” generation assets</w:t>
      </w:r>
      <w:r w:rsidRPr="001C4EA0">
        <w:rPr>
          <w:rFonts w:ascii="Times New Roman" w:hAnsi="Times New Roman" w:cs="Times New Roman"/>
          <w:sz w:val="28"/>
          <w:szCs w:val="28"/>
        </w:rPr>
        <w:t>;</w:t>
      </w:r>
    </w:p>
    <w:p w14:paraId="30DAA87F" w14:textId="77777777" w:rsidR="00B72082" w:rsidRPr="001C4EA0" w:rsidRDefault="00B72082" w:rsidP="00B720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contractual prohibition on curtailment for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economic reasons</w:t>
      </w:r>
      <w:r w:rsidRPr="001C4EA0">
        <w:rPr>
          <w:rFonts w:ascii="Times New Roman" w:hAnsi="Times New Roman" w:cs="Times New Roman"/>
          <w:sz w:val="28"/>
          <w:szCs w:val="28"/>
        </w:rPr>
        <w:t>;</w:t>
      </w:r>
    </w:p>
    <w:p w14:paraId="4F7EE854" w14:textId="77777777" w:rsidR="00B72082" w:rsidRPr="001C4EA0" w:rsidRDefault="00B72082" w:rsidP="00B720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ongoing monthly payment obligations tied to facility operations;</w:t>
      </w:r>
    </w:p>
    <w:p w14:paraId="52A3B056" w14:textId="77777777" w:rsidR="00B72082" w:rsidRPr="001C4EA0" w:rsidRDefault="00B72082" w:rsidP="00B720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PREPA’s obligation to compensate curtailed energy under defined circumstances;</w:t>
      </w:r>
    </w:p>
    <w:p w14:paraId="6CB0BA91" w14:textId="77777777" w:rsidR="00B72082" w:rsidRPr="001C4EA0" w:rsidRDefault="00B72082" w:rsidP="00B720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continuous grid integration and dispatch obligations.</w:t>
      </w:r>
    </w:p>
    <w:p w14:paraId="52F2390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 xml:space="preserve">The issue matters because PREPA revenues historically operate within a priority framework where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 must be satisfied before debt service obligations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318267D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If PPOA obligations constitute current expenses, then substantial revenues assumed available for bondholder recoveries may not have been legally available for such use.</w:t>
      </w:r>
    </w:p>
    <w:p w14:paraId="72D6293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At minimum, the issue raises material concerns regarding:</w:t>
      </w:r>
    </w:p>
    <w:p w14:paraId="1CF9520C" w14:textId="77777777" w:rsidR="00B72082" w:rsidRPr="001C4EA0" w:rsidRDefault="00B72082" w:rsidP="00B720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fair treatment of PPOA holders;</w:t>
      </w:r>
    </w:p>
    <w:p w14:paraId="23CD4916" w14:textId="77777777" w:rsidR="00B72082" w:rsidRPr="001C4EA0" w:rsidRDefault="00B72082" w:rsidP="00B720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the legal sufficiency of the proposed unsecured claim structure;</w:t>
      </w:r>
    </w:p>
    <w:p w14:paraId="1579A9B6" w14:textId="77777777" w:rsidR="00B72082" w:rsidRPr="001C4EA0" w:rsidRDefault="00B72082" w:rsidP="00B720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plan feasibility and confirmability;</w:t>
      </w:r>
    </w:p>
    <w:p w14:paraId="777060FD" w14:textId="77777777" w:rsidR="00B72082" w:rsidRPr="001C4EA0" w:rsidRDefault="00B72082" w:rsidP="00B720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litigation risk;</w:t>
      </w:r>
      <w:r w:rsidRPr="001C4EA0">
        <w:rPr>
          <w:rFonts w:ascii="Times New Roman" w:hAnsi="Times New Roman" w:cs="Times New Roman"/>
          <w:sz w:val="28"/>
          <w:szCs w:val="28"/>
        </w:rPr>
        <w:t xml:space="preserve"> and</w:t>
      </w:r>
    </w:p>
    <w:p w14:paraId="2D45BAC1" w14:textId="77777777" w:rsidR="00B72082" w:rsidRPr="001C4EA0" w:rsidRDefault="00B72082" w:rsidP="00B720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the institutional obligation of the FOMB to fairly administer competing creditor interests after receiving notice of a materially consequential issue.</w:t>
      </w:r>
    </w:p>
    <w:p w14:paraId="671A46DE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0DB42D6B">
          <v:rect id="_x0000_i1026" style="width:0;height:1.5pt" o:hralign="center" o:hrstd="t" o:hr="t" fillcolor="#a0a0a0" stroked="f"/>
        </w:pict>
      </w:r>
    </w:p>
    <w:p w14:paraId="761D9ACC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I. ISSUE PRESENTED</w:t>
      </w:r>
    </w:p>
    <w:p w14:paraId="68C8706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Whether PREPA’s payment obligations under renewable Power Purchase and Operating Agreements (“PPOAs”)—including obligations arising from the Blue Beetle III PPOA—constitute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</w:t>
      </w:r>
      <w:r w:rsidRPr="001C4EA0">
        <w:rPr>
          <w:rFonts w:ascii="Times New Roman" w:hAnsi="Times New Roman" w:cs="Times New Roman"/>
          <w:sz w:val="28"/>
          <w:szCs w:val="28"/>
        </w:rPr>
        <w:t xml:space="preserve"> entitled to priority treatment ahead of bondholder recoveries and whether failure to meaningfully evaluate such treatment creates material restructuring, litigation, and fairness risks.</w:t>
      </w:r>
    </w:p>
    <w:p w14:paraId="6C8C253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543F223C">
          <v:rect id="_x0000_i1027" style="width:0;height:1.5pt" o:hralign="center" o:hrstd="t" o:hr="t" fillcolor="#a0a0a0" stroked="f"/>
        </w:pict>
      </w:r>
    </w:p>
    <w:p w14:paraId="577C58A4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II. PPOAS FUNCTION AS OPERATING CONTRACTS, NOT ORDINARY UNSECURED LIABILITIES</w:t>
      </w:r>
    </w:p>
    <w:p w14:paraId="5861651E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PREPA PPOA structure is materially different from an ordinary unsecured claim.</w:t>
      </w:r>
    </w:p>
    <w:p w14:paraId="2B710C1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 bondholder finances historical debt.</w:t>
      </w:r>
    </w:p>
    <w:p w14:paraId="2AE88553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 xml:space="preserve">A PPOA counterparty supplies or stands ready to supply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electric generation necessary for ongoing grid operations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354F8DE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distinction is fundamental.</w:t>
      </w:r>
    </w:p>
    <w:p w14:paraId="4802CA94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PREPA’s PPOAs are structured as:</w:t>
      </w:r>
    </w:p>
    <w:p w14:paraId="2E226170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continuous operating agreements;</w:t>
      </w:r>
    </w:p>
    <w:p w14:paraId="7800DF13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grid-integrated generation resources;</w:t>
      </w:r>
    </w:p>
    <w:p w14:paraId="547AD07D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dispatchable or must-run infrastructure;</w:t>
      </w:r>
    </w:p>
    <w:p w14:paraId="069D3D88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recurring monthly operational payment systems;</w:t>
      </w:r>
    </w:p>
    <w:p w14:paraId="594E3005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energy availability obligations; and</w:t>
      </w:r>
    </w:p>
    <w:p w14:paraId="279510B3" w14:textId="77777777" w:rsidR="00B72082" w:rsidRPr="001C4EA0" w:rsidRDefault="00B72082" w:rsidP="00B720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coordinated reliability mechanisms.</w:t>
      </w:r>
    </w:p>
    <w:p w14:paraId="1CAE778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Unlike a conventional unsecured debt obligation, the PPOA provider becomes part of PREPA’s active operating system.</w:t>
      </w:r>
    </w:p>
    <w:p w14:paraId="6C2D0B8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economic function of these agreements more closely resembles:</w:t>
      </w:r>
    </w:p>
    <w:p w14:paraId="171F1EF2" w14:textId="77777777" w:rsidR="00B72082" w:rsidRPr="001C4EA0" w:rsidRDefault="00B72082" w:rsidP="00B720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purchased power obligations,</w:t>
      </w:r>
    </w:p>
    <w:p w14:paraId="1FF2DDB1" w14:textId="77777777" w:rsidR="00B72082" w:rsidRPr="001C4EA0" w:rsidRDefault="00B72082" w:rsidP="00B720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fuel expenses,</w:t>
      </w:r>
    </w:p>
    <w:p w14:paraId="432F967C" w14:textId="77777777" w:rsidR="00B72082" w:rsidRPr="001C4EA0" w:rsidRDefault="00B72082" w:rsidP="00B720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generation expenses,</w:t>
      </w:r>
    </w:p>
    <w:p w14:paraId="13ACDBF5" w14:textId="77777777" w:rsidR="00B72082" w:rsidRPr="001C4EA0" w:rsidRDefault="00B72082" w:rsidP="00B720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transmission support obligations, or</w:t>
      </w:r>
    </w:p>
    <w:p w14:paraId="697EEF5D" w14:textId="77777777" w:rsidR="00B72082" w:rsidRPr="001C4EA0" w:rsidRDefault="00B72082" w:rsidP="00B720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indispensable utility operating costs.</w:t>
      </w:r>
    </w:p>
    <w:p w14:paraId="45B1A6D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These are traditionally treated as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</w:t>
      </w:r>
      <w:r w:rsidRPr="001C4EA0">
        <w:rPr>
          <w:rFonts w:ascii="Times New Roman" w:hAnsi="Times New Roman" w:cs="Times New Roman"/>
          <w:sz w:val="28"/>
          <w:szCs w:val="28"/>
        </w:rPr>
        <w:t>, not residual unsecured claims.</w:t>
      </w:r>
    </w:p>
    <w:p w14:paraId="4B59663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151132C3">
          <v:rect id="_x0000_i1028" style="width:0;height:1.5pt" o:hralign="center" o:hrstd="t" o:hr="t" fillcolor="#a0a0a0" stroked="f"/>
        </w:pict>
      </w:r>
    </w:p>
    <w:p w14:paraId="3FB2E7A1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III. THE BLUE BEETLE PPOA EXPRESSLY SUPPORTS CURRENT EXPENSE TREATMENT</w:t>
      </w:r>
    </w:p>
    <w:p w14:paraId="4D6CE64D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A. PREPA Designated the Facility as a “Must Run” Resource</w:t>
      </w:r>
    </w:p>
    <w:p w14:paraId="65CBF78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First Amendment to the Blue Beetle III PPOA materially strengthens the operational nature of the agreement.</w:t>
      </w:r>
    </w:p>
    <w:p w14:paraId="5CE3006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>PREPA expressly agreed:</w:t>
      </w:r>
    </w:p>
    <w:p w14:paraId="0B9368E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1C4EA0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1C4EA0">
        <w:rPr>
          <w:rFonts w:ascii="Times New Roman" w:hAnsi="Times New Roman" w:cs="Times New Roman"/>
          <w:sz w:val="28"/>
          <w:szCs w:val="28"/>
        </w:rPr>
        <w:t xml:space="preserve"> Facility will be designated as a ‘must run’ unit (to the full extent of the Contracted Capacity of 20 MW) and will not be disconnected except to the extent necessary due to a Force Majeure or an Emergency that cannot be avoided or mitigated without the shutdown or disconnection of the Facility.”</w:t>
      </w:r>
    </w:p>
    <w:p w14:paraId="312B4413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language is critically important.</w:t>
      </w:r>
    </w:p>
    <w:p w14:paraId="63DF598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 contractually acknowledged that the facility was not discretionary generation.</w:t>
      </w:r>
    </w:p>
    <w:p w14:paraId="0A7B6F76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Instead, PREPA treated the facility as an operational necessity integrated into the electrical system.</w:t>
      </w:r>
    </w:p>
    <w:p w14:paraId="3C6FB14C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A “must run” designation strongly supports characterization as an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ongoing operating expense</w:t>
      </w:r>
      <w:r w:rsidRPr="001C4EA0">
        <w:rPr>
          <w:rFonts w:ascii="Times New Roman" w:hAnsi="Times New Roman" w:cs="Times New Roman"/>
          <w:sz w:val="28"/>
          <w:szCs w:val="28"/>
        </w:rPr>
        <w:t xml:space="preserve"> rather than an ordinary contractual liability.</w:t>
      </w:r>
    </w:p>
    <w:p w14:paraId="23F189A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4FD529F2">
          <v:rect id="_x0000_i1029" style="width:0;height:1.5pt" o:hralign="center" o:hrstd="t" o:hr="t" fillcolor="#a0a0a0" stroked="f"/>
        </w:pict>
      </w:r>
    </w:p>
    <w:p w14:paraId="043990E0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B. PREPA Prohibited Curtailment for Economic Reasons</w:t>
      </w:r>
    </w:p>
    <w:p w14:paraId="2F779B5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First Amendment further provides that PREPA:</w:t>
      </w:r>
    </w:p>
    <w:p w14:paraId="1A90559E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1C4EA0">
        <w:rPr>
          <w:rFonts w:ascii="Times New Roman" w:hAnsi="Times New Roman" w:cs="Times New Roman"/>
          <w:sz w:val="28"/>
          <w:szCs w:val="28"/>
        </w:rPr>
        <w:t>shall</w:t>
      </w:r>
      <w:proofErr w:type="gramEnd"/>
      <w:r w:rsidRPr="001C4EA0">
        <w:rPr>
          <w:rFonts w:ascii="Times New Roman" w:hAnsi="Times New Roman" w:cs="Times New Roman"/>
          <w:sz w:val="28"/>
          <w:szCs w:val="28"/>
        </w:rPr>
        <w:t xml:space="preserve"> not be entitled to reduce Net Electrical Output or disconnect under this Agreement due to (a) economic factors…”</w:t>
      </w:r>
    </w:p>
    <w:p w14:paraId="2E315A8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provision is significant.</w:t>
      </w:r>
    </w:p>
    <w:p w14:paraId="366AB58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 contractually agreed that dispatch decisions could not be based upon economics or financial convenience.</w:t>
      </w:r>
    </w:p>
    <w:p w14:paraId="36C1BBC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In practical terms, PREPA agreed:</w:t>
      </w:r>
    </w:p>
    <w:p w14:paraId="414D97A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“This generation resource must continue operating even when it is economically inconvenient.”</w:t>
      </w:r>
    </w:p>
    <w:p w14:paraId="58C0FEF9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resembles a utility operating obligation—not a discretionary debt payment.</w:t>
      </w:r>
    </w:p>
    <w:p w14:paraId="7F026D98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If PREPA lacks authority to curtail generation for economic reasons, the related payment obligation bears the characteristics of a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operational expense necessary for electrical service continuity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1B3369F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3FB71137">
          <v:rect id="_x0000_i1030" style="width:0;height:1.5pt" o:hralign="center" o:hrstd="t" o:hr="t" fillcolor="#a0a0a0" stroked="f"/>
        </w:pict>
      </w:r>
    </w:p>
    <w:p w14:paraId="1E73F0A2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C. PREPA Remains Obligated to Pay During Curtailment</w:t>
      </w:r>
    </w:p>
    <w:p w14:paraId="60E34586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PPOA further demonstrates operational expense treatment by requiring PREPA to compensate the provider during curtailment under defined circumstances.</w:t>
      </w:r>
    </w:p>
    <w:p w14:paraId="09EF1B3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First Amendment provides:</w:t>
      </w:r>
    </w:p>
    <w:p w14:paraId="34F4F324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“PREPA shall pay SELLER for each hour of the curtailed energy after the waiting period…”</w:t>
      </w:r>
    </w:p>
    <w:p w14:paraId="342068D9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provision is highly probative.</w:t>
      </w:r>
    </w:p>
    <w:p w14:paraId="5A630C38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 did not structure compensation merely as breach damages.</w:t>
      </w:r>
    </w:p>
    <w:p w14:paraId="24D8B3C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Rather, PREPA contractually recognized that:</w:t>
      </w:r>
    </w:p>
    <w:p w14:paraId="2876E285" w14:textId="77777777" w:rsidR="00B72082" w:rsidRPr="001C4EA0" w:rsidRDefault="00B72082" w:rsidP="00B720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 may curtail for operational reasons;</w:t>
      </w:r>
    </w:p>
    <w:p w14:paraId="73DCC561" w14:textId="77777777" w:rsidR="00B72082" w:rsidRPr="001C4EA0" w:rsidRDefault="00B72082" w:rsidP="00B720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facility remains part of the operating system; and</w:t>
      </w:r>
    </w:p>
    <w:p w14:paraId="778D1BDC" w14:textId="77777777" w:rsidR="00B72082" w:rsidRPr="001C4EA0" w:rsidRDefault="00B72082" w:rsidP="00B720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 remains obligated to compensate the provider despite reduced energy acceptance.</w:t>
      </w:r>
    </w:p>
    <w:p w14:paraId="7B72D069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That payment obligation strongly resembles an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ordinary operational system cost</w:t>
      </w:r>
      <w:r w:rsidRPr="001C4EA0">
        <w:rPr>
          <w:rFonts w:ascii="Times New Roman" w:hAnsi="Times New Roman" w:cs="Times New Roman"/>
          <w:sz w:val="28"/>
          <w:szCs w:val="28"/>
        </w:rPr>
        <w:t>, not a general unsecured claim.</w:t>
      </w:r>
    </w:p>
    <w:p w14:paraId="7EB2585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6D1C3ED3">
          <v:rect id="_x0000_i1031" style="width:0;height:1.5pt" o:hralign="center" o:hrstd="t" o:hr="t" fillcolor="#a0a0a0" stroked="f"/>
        </w:pict>
      </w:r>
    </w:p>
    <w:p w14:paraId="1AF3AF64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IV. PREPA’S OWN PPOA FRAMEWORK CONFIRMS OPERATIONAL TREATMENT</w:t>
      </w:r>
    </w:p>
    <w:p w14:paraId="119C423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PREPA’s later PPOA framework confirms the same economic structure.</w:t>
      </w:r>
    </w:p>
    <w:p w14:paraId="32A4AB8B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PREPA’s 2021 renewable PPOA structure repeatedly treats renewable providers as integrated participants in system operations through:</w:t>
      </w:r>
    </w:p>
    <w:p w14:paraId="7255C77D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recurring monthly payment obligations;</w:t>
      </w:r>
    </w:p>
    <w:p w14:paraId="5FD2F800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dispatching provisions;</w:t>
      </w:r>
    </w:p>
    <w:p w14:paraId="3B80FFED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grid support obligations;</w:t>
      </w:r>
    </w:p>
    <w:p w14:paraId="5EE6FE76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facility availability requirements;</w:t>
      </w:r>
    </w:p>
    <w:p w14:paraId="5EBCED20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>deemed energy compensation;</w:t>
      </w:r>
    </w:p>
    <w:p w14:paraId="10E1D2EC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interconnection obligations; and</w:t>
      </w:r>
    </w:p>
    <w:p w14:paraId="42656999" w14:textId="77777777" w:rsidR="00B72082" w:rsidRPr="001C4EA0" w:rsidRDefault="00B72082" w:rsidP="00B720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operational performance metrics.</w:t>
      </w:r>
    </w:p>
    <w:p w14:paraId="4790DF7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 PPOA repeatedly contemplates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monthly operational compensation</w:t>
      </w:r>
      <w:r w:rsidRPr="001C4EA0">
        <w:rPr>
          <w:rFonts w:ascii="Times New Roman" w:hAnsi="Times New Roman" w:cs="Times New Roman"/>
          <w:sz w:val="28"/>
          <w:szCs w:val="28"/>
        </w:rPr>
        <w:t xml:space="preserve"> for electrical output and system availability.</w:t>
      </w:r>
    </w:p>
    <w:p w14:paraId="1BD97348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structure reflects a utility operations agreement.</w:t>
      </w:r>
    </w:p>
    <w:p w14:paraId="00285A9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It does not resemble historical unsecured debt.</w:t>
      </w:r>
    </w:p>
    <w:p w14:paraId="272806A2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6FA3084E">
          <v:rect id="_x0000_i1032" style="width:0;height:1.5pt" o:hralign="center" o:hrstd="t" o:hr="t" fillcolor="#a0a0a0" stroked="f"/>
        </w:pict>
      </w:r>
    </w:p>
    <w:p w14:paraId="45933C09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V. CURRENT EXPENSE PRINCIPLES FAVOR PPOA PRIORITY</w:t>
      </w:r>
    </w:p>
    <w:p w14:paraId="3C72FC9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PREPA revenues historically operate under a payment hierarchy where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 are paid prior to debt service obligations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224FEB3E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critical legal question is therefore:</w:t>
      </w:r>
    </w:p>
    <w:p w14:paraId="6F007593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What is the true economic and operational character of PPOA obligations?</w:t>
      </w:r>
    </w:p>
    <w:p w14:paraId="7FAB704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Where PREPA contracts for electrical generation that:</w:t>
      </w:r>
    </w:p>
    <w:p w14:paraId="6EFE3E29" w14:textId="77777777" w:rsidR="00B72082" w:rsidRPr="001C4EA0" w:rsidRDefault="00B72082" w:rsidP="00B720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must remain operational,</w:t>
      </w:r>
    </w:p>
    <w:p w14:paraId="2AA38EED" w14:textId="77777777" w:rsidR="00B72082" w:rsidRPr="001C4EA0" w:rsidRDefault="00B72082" w:rsidP="00B720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cannot be curtailed for economic reasons,</w:t>
      </w:r>
    </w:p>
    <w:p w14:paraId="5FAEE074" w14:textId="77777777" w:rsidR="00B72082" w:rsidRPr="001C4EA0" w:rsidRDefault="00B72082" w:rsidP="00B720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remains compensable during PREPA curtailment,</w:t>
      </w:r>
    </w:p>
    <w:p w14:paraId="52E5B17C" w14:textId="77777777" w:rsidR="00B72082" w:rsidRPr="001C4EA0" w:rsidRDefault="00B72082" w:rsidP="00B720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directly supports grid operations, and</w:t>
      </w:r>
    </w:p>
    <w:p w14:paraId="50D6B8BD" w14:textId="77777777" w:rsidR="00B72082" w:rsidRPr="001C4EA0" w:rsidRDefault="00B72082" w:rsidP="00B720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contributes to electric service continuity,</w:t>
      </w:r>
    </w:p>
    <w:p w14:paraId="587A0A9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 stronger characterization is that such obligations constitute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current operating expenses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5CF449B2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distinction is not merely semantic.</w:t>
      </w:r>
    </w:p>
    <w:p w14:paraId="22BC168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If PPOA obligations qualify as current expenses, revenues assumed available for bondholder distributions may not have been legally available for that purpose.</w:t>
      </w:r>
    </w:p>
    <w:p w14:paraId="24B8B28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5C8288A7">
          <v:rect id="_x0000_i1033" style="width:0;height:1.5pt" o:hralign="center" o:hrstd="t" o:hr="t" fillcolor="#a0a0a0" stroked="f"/>
        </w:pict>
      </w:r>
    </w:p>
    <w:p w14:paraId="5CA5A016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VI. CONSEQUENCES FOR THE EXISTING PREPA SETTLEMENT FRAMEWORK</w:t>
      </w:r>
    </w:p>
    <w:p w14:paraId="58FB4AE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 current PREPA framework reportedly allocates approximately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$38 million</w:t>
      </w:r>
      <w:r w:rsidRPr="001C4EA0">
        <w:rPr>
          <w:rFonts w:ascii="Times New Roman" w:hAnsi="Times New Roman" w:cs="Times New Roman"/>
          <w:sz w:val="28"/>
          <w:szCs w:val="28"/>
        </w:rPr>
        <w:t xml:space="preserve"> for PPOA claimants within a broader unsecured structure.</w:t>
      </w:r>
    </w:p>
    <w:p w14:paraId="3B764542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This raises material concerns.</w:t>
      </w:r>
    </w:p>
    <w:p w14:paraId="434BC2A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PPOA claimant population includes long-term contractual operating counterparties whose claims may derive from obligations entitled to superior treatment.</w:t>
      </w:r>
    </w:p>
    <w:p w14:paraId="4C784E8C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If PPOA obligations are current expenses, a materially different recovery framework may be required.</w:t>
      </w:r>
    </w:p>
    <w:p w14:paraId="3E6A39A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implications include:</w:t>
      </w:r>
    </w:p>
    <w:p w14:paraId="0C33CCD6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1. Misclassification Risk</w:t>
      </w:r>
    </w:p>
    <w:p w14:paraId="3A45F48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Operational counterparties necessary to electrical generation may be improperly grouped with ordinary unsecured creditors.</w:t>
      </w:r>
    </w:p>
    <w:p w14:paraId="28C391A7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2. Confirmability Risk</w:t>
      </w:r>
    </w:p>
    <w:p w14:paraId="71B771A2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 restructuring dependent upon revenues potentially subordinate to current operating expenses risks future legal challenge.</w:t>
      </w:r>
    </w:p>
    <w:p w14:paraId="258F3602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 plan that materially underestimates legally superior obligations creates avoidable instability.</w:t>
      </w:r>
    </w:p>
    <w:p w14:paraId="0217C2C5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3. Litigation Risk</w:t>
      </w:r>
    </w:p>
    <w:p w14:paraId="6497C373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issue is now documented and supported by contractual language.</w:t>
      </w:r>
    </w:p>
    <w:p w14:paraId="2D320259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Continued characterization of the issue as speculative or frivolous becomes increasingly difficult.</w:t>
      </w:r>
    </w:p>
    <w:p w14:paraId="7290EC9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Even partial judicial acknowledgment could materially alter restructuring economics.</w:t>
      </w:r>
    </w:p>
    <w:p w14:paraId="3CD06785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4. Fairness Risk Across Creditor Constituencies</w:t>
      </w:r>
    </w:p>
    <w:p w14:paraId="22202213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FOMB administers a congressionally created restructuring affecting multiple creditor classes.</w:t>
      </w:r>
    </w:p>
    <w:p w14:paraId="45C7F4B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>Once a materially consequential issue affecting recoveries has been identified, failure to meaningfully evaluate it risks creating avoidable disparities among creditor constituencies.</w:t>
      </w:r>
    </w:p>
    <w:p w14:paraId="2302F036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5. Settlement Risk</w:t>
      </w:r>
    </w:p>
    <w:p w14:paraId="42C60D2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current PPOA allocation framework may underestimate PREPA’s exposure.</w:t>
      </w:r>
    </w:p>
    <w:p w14:paraId="42F35A39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 materially undercapitalized PPOA settlement pool increases the likelihood of future litigation and delayed resolution.</w:t>
      </w:r>
    </w:p>
    <w:p w14:paraId="0CD91A5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16C1534D">
          <v:rect id="_x0000_i1034" style="width:0;height:1.5pt" o:hralign="center" o:hrstd="t" o:hr="t" fillcolor="#a0a0a0" stroked="f"/>
        </w:pict>
      </w:r>
    </w:p>
    <w:p w14:paraId="7FD563EF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VII. WHY THIS ISSUE WARRANTS IMMEDIATE REVIEW</w:t>
      </w:r>
    </w:p>
    <w:p w14:paraId="3867B538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issue warrants institutional review for several reasons.</w:t>
      </w:r>
    </w:p>
    <w:p w14:paraId="7DA006AC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First, the issue is supported by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actual contract language</w:t>
      </w:r>
      <w:r w:rsidRPr="001C4EA0">
        <w:rPr>
          <w:rFonts w:ascii="Times New Roman" w:hAnsi="Times New Roman" w:cs="Times New Roman"/>
          <w:sz w:val="28"/>
          <w:szCs w:val="28"/>
        </w:rPr>
        <w:t>, not abstract theory.</w:t>
      </w:r>
    </w:p>
    <w:p w14:paraId="7F2CF2C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Second, the issue affects both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bondholder recoveries and PPOA treatment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7A6BF8F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Third, the issue directly intersects with ongoing appellate proceedings involving PREPA operational priorities and creditor recoveries.</w:t>
      </w:r>
    </w:p>
    <w:p w14:paraId="1B3C039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Fourth, the economic consequences of ignoring the issue may increase over time if judicial scrutiny later validates portions of the argument.</w:t>
      </w:r>
    </w:p>
    <w:p w14:paraId="686361B1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cost of resolving uncertainty generally increases after litigation rather than before it.</w:t>
      </w:r>
    </w:p>
    <w:p w14:paraId="47A7C454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11A56247">
          <v:rect id="_x0000_i1035" style="width:0;height:1.5pt" o:hralign="center" o:hrstd="t" o:hr="t" fillcolor="#a0a0a0" stroked="f"/>
        </w:pict>
      </w:r>
    </w:p>
    <w:p w14:paraId="0A239C1E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VIII. REQUEST FOR FOMB REVIEW</w:t>
      </w:r>
    </w:p>
    <w:p w14:paraId="1328D6F6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Given the contractual structure of PREPA’s PPOAs and the operational nature of the obligations at issue, the undersigned respectfully requests that the FOMB:</w:t>
      </w:r>
    </w:p>
    <w:p w14:paraId="20CB475A" w14:textId="77777777" w:rsidR="00B72082" w:rsidRPr="001C4EA0" w:rsidRDefault="00B72082" w:rsidP="00B720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Conduct an independent review of PPOA obligations under a current expense framework;</w:t>
      </w:r>
    </w:p>
    <w:p w14:paraId="317D1313" w14:textId="77777777" w:rsidR="00B72082" w:rsidRPr="001C4EA0" w:rsidRDefault="00B72082" w:rsidP="00B720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Reevaluate whether the current PPOA settlement allocation adequately reflects the legal character of PPOA obligations;</w:t>
      </w:r>
    </w:p>
    <w:p w14:paraId="26518F67" w14:textId="77777777" w:rsidR="00B72082" w:rsidRPr="001C4EA0" w:rsidRDefault="00B72082" w:rsidP="00B720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lastRenderedPageBreak/>
        <w:t>Assess whether revenues modeled for creditor recoveries properly account for potentially superior operational obligations;</w:t>
      </w:r>
    </w:p>
    <w:p w14:paraId="21F7318B" w14:textId="77777777" w:rsidR="00B72082" w:rsidRPr="001C4EA0" w:rsidRDefault="00B72082" w:rsidP="00B720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Consider whether existing restructuring assumptions create avoidable confirmability or litigation risks.</w:t>
      </w:r>
    </w:p>
    <w:p w14:paraId="23347425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pict w14:anchorId="10B80534">
          <v:rect id="_x0000_i1036" style="width:0;height:1.5pt" o:hralign="center" o:hrstd="t" o:hr="t" fillcolor="#a0a0a0" stroked="f"/>
        </w:pict>
      </w:r>
    </w:p>
    <w:p w14:paraId="2E587055" w14:textId="77777777" w:rsidR="00B72082" w:rsidRPr="001C4EA0" w:rsidRDefault="00B72082" w:rsidP="00B720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IX. CONCLUSION</w:t>
      </w:r>
    </w:p>
    <w:p w14:paraId="11DA2BE6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 PPOA issue deserves serious institutional review.</w:t>
      </w:r>
    </w:p>
    <w:p w14:paraId="79D2C0D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PREPA’s own contractual language strongly suggests renewable PPOA obligations function not as ordinary unsecured liabilities, but as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ongoing operating expenses necessary for electric system operations</w:t>
      </w:r>
      <w:r w:rsidRPr="001C4EA0">
        <w:rPr>
          <w:rFonts w:ascii="Times New Roman" w:hAnsi="Times New Roman" w:cs="Times New Roman"/>
          <w:sz w:val="28"/>
          <w:szCs w:val="28"/>
        </w:rPr>
        <w:t>.</w:t>
      </w:r>
    </w:p>
    <w:p w14:paraId="253BD67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 xml:space="preserve">The Blue Beetle III PPOA expressly designates the facility as a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must run resource</w:t>
      </w:r>
      <w:r w:rsidRPr="001C4EA0">
        <w:rPr>
          <w:rFonts w:ascii="Times New Roman" w:hAnsi="Times New Roman" w:cs="Times New Roman"/>
          <w:sz w:val="28"/>
          <w:szCs w:val="28"/>
        </w:rPr>
        <w:t xml:space="preserve">, prohibits curtailment for </w:t>
      </w:r>
      <w:r w:rsidRPr="001C4EA0">
        <w:rPr>
          <w:rFonts w:ascii="Times New Roman" w:hAnsi="Times New Roman" w:cs="Times New Roman"/>
          <w:b/>
          <w:bCs/>
          <w:sz w:val="28"/>
          <w:szCs w:val="28"/>
        </w:rPr>
        <w:t>economic reasons</w:t>
      </w:r>
      <w:r w:rsidRPr="001C4EA0">
        <w:rPr>
          <w:rFonts w:ascii="Times New Roman" w:hAnsi="Times New Roman" w:cs="Times New Roman"/>
          <w:sz w:val="28"/>
          <w:szCs w:val="28"/>
        </w:rPr>
        <w:t>, and requires compensation during qualifying curtailments.</w:t>
      </w:r>
    </w:p>
    <w:p w14:paraId="03A034AF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These are characteristics of a continuing operational obligation.</w:t>
      </w:r>
    </w:p>
    <w:p w14:paraId="3411C4B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At minimum, the issue merits independent legal and economic evaluation before finalizing a restructuring framework that materially impairs PPOA holders while allocating substantial recoveries to creditors whose rights may be subordinate to current operating expenses.</w:t>
      </w:r>
    </w:p>
    <w:p w14:paraId="28B366BC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Ignoring the issue does not eliminate the issue.</w:t>
      </w:r>
    </w:p>
    <w:p w14:paraId="05790920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It merely increases the likelihood that the issue reappears later under materially more difficult litigation conditions and at materially higher cost to the restructuring process.</w:t>
      </w:r>
    </w:p>
    <w:p w14:paraId="0F5FC767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sz w:val="28"/>
          <w:szCs w:val="28"/>
        </w:rPr>
        <w:t>Respectfully submitted,</w:t>
      </w:r>
    </w:p>
    <w:p w14:paraId="6871656D" w14:textId="77777777" w:rsidR="00B72082" w:rsidRPr="001C4EA0" w:rsidRDefault="00B72082" w:rsidP="00B72082">
      <w:pPr>
        <w:rPr>
          <w:rFonts w:ascii="Times New Roman" w:hAnsi="Times New Roman" w:cs="Times New Roman"/>
          <w:sz w:val="28"/>
          <w:szCs w:val="28"/>
        </w:rPr>
      </w:pPr>
      <w:r w:rsidRPr="001C4EA0">
        <w:rPr>
          <w:rFonts w:ascii="Times New Roman" w:hAnsi="Times New Roman" w:cs="Times New Roman"/>
          <w:b/>
          <w:bCs/>
          <w:sz w:val="28"/>
          <w:szCs w:val="28"/>
        </w:rPr>
        <w:t>Richard R. Lawless</w:t>
      </w:r>
      <w:r w:rsidRPr="001C4EA0">
        <w:rPr>
          <w:rFonts w:ascii="Times New Roman" w:hAnsi="Times New Roman" w:cs="Times New Roman"/>
          <w:sz w:val="28"/>
          <w:szCs w:val="28"/>
        </w:rPr>
        <w:br/>
        <w:t>Interested Party / PREPA PPOA Stakeholder</w:t>
      </w:r>
      <w:r w:rsidRPr="001C4EA0">
        <w:rPr>
          <w:rFonts w:ascii="Times New Roman" w:hAnsi="Times New Roman" w:cs="Times New Roman"/>
          <w:sz w:val="28"/>
          <w:szCs w:val="28"/>
        </w:rPr>
        <w:br/>
        <w:t>SEC Dodd-Frank Whistleblower</w:t>
      </w:r>
      <w:r w:rsidRPr="001C4EA0">
        <w:rPr>
          <w:rFonts w:ascii="Times New Roman" w:hAnsi="Times New Roman" w:cs="Times New Roman"/>
          <w:sz w:val="28"/>
          <w:szCs w:val="28"/>
        </w:rPr>
        <w:br/>
        <w:t>PREPA 2013 Power Revenue Bond Matter (B-02949)</w:t>
      </w:r>
    </w:p>
    <w:p w14:paraId="6339ED39" w14:textId="77777777" w:rsidR="0032539F" w:rsidRPr="001C4EA0" w:rsidRDefault="0032539F">
      <w:pPr>
        <w:rPr>
          <w:rFonts w:ascii="Times New Roman" w:hAnsi="Times New Roman" w:cs="Times New Roman"/>
          <w:sz w:val="28"/>
          <w:szCs w:val="28"/>
        </w:rPr>
      </w:pPr>
    </w:p>
    <w:sectPr w:rsidR="0032539F" w:rsidRPr="001C4EA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DC19" w14:textId="77777777" w:rsidR="00AC4ACC" w:rsidRDefault="00AC4ACC" w:rsidP="001C4EA0">
      <w:pPr>
        <w:spacing w:after="0" w:line="240" w:lineRule="auto"/>
      </w:pPr>
      <w:r>
        <w:separator/>
      </w:r>
    </w:p>
  </w:endnote>
  <w:endnote w:type="continuationSeparator" w:id="0">
    <w:p w14:paraId="0EF2ED71" w14:textId="77777777" w:rsidR="00AC4ACC" w:rsidRDefault="00AC4ACC" w:rsidP="001C4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40206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892659" w14:textId="406A1051" w:rsidR="001C4EA0" w:rsidRDefault="001C4E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96AFC8" w14:textId="77777777" w:rsidR="001C4EA0" w:rsidRDefault="001C4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63AD" w14:textId="77777777" w:rsidR="00AC4ACC" w:rsidRDefault="00AC4ACC" w:rsidP="001C4EA0">
      <w:pPr>
        <w:spacing w:after="0" w:line="240" w:lineRule="auto"/>
      </w:pPr>
      <w:r>
        <w:separator/>
      </w:r>
    </w:p>
  </w:footnote>
  <w:footnote w:type="continuationSeparator" w:id="0">
    <w:p w14:paraId="01AE68A3" w14:textId="77777777" w:rsidR="00AC4ACC" w:rsidRDefault="00AC4ACC" w:rsidP="001C4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EB3"/>
    <w:multiLevelType w:val="multilevel"/>
    <w:tmpl w:val="D224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83219"/>
    <w:multiLevelType w:val="multilevel"/>
    <w:tmpl w:val="3806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6733A"/>
    <w:multiLevelType w:val="multilevel"/>
    <w:tmpl w:val="AEF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733B0"/>
    <w:multiLevelType w:val="multilevel"/>
    <w:tmpl w:val="50F0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00ECF"/>
    <w:multiLevelType w:val="multilevel"/>
    <w:tmpl w:val="BF4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E2D6A"/>
    <w:multiLevelType w:val="multilevel"/>
    <w:tmpl w:val="CABC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38C0"/>
    <w:multiLevelType w:val="multilevel"/>
    <w:tmpl w:val="CDE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A1EC3"/>
    <w:multiLevelType w:val="multilevel"/>
    <w:tmpl w:val="95C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911579">
    <w:abstractNumId w:val="4"/>
  </w:num>
  <w:num w:numId="2" w16cid:durableId="384185680">
    <w:abstractNumId w:val="3"/>
  </w:num>
  <w:num w:numId="3" w16cid:durableId="1367216215">
    <w:abstractNumId w:val="7"/>
  </w:num>
  <w:num w:numId="4" w16cid:durableId="1656565766">
    <w:abstractNumId w:val="2"/>
  </w:num>
  <w:num w:numId="5" w16cid:durableId="1501430523">
    <w:abstractNumId w:val="1"/>
  </w:num>
  <w:num w:numId="6" w16cid:durableId="1845239915">
    <w:abstractNumId w:val="6"/>
  </w:num>
  <w:num w:numId="7" w16cid:durableId="1113210370">
    <w:abstractNumId w:val="5"/>
  </w:num>
  <w:num w:numId="8" w16cid:durableId="66755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82"/>
    <w:rsid w:val="001053C8"/>
    <w:rsid w:val="001508C0"/>
    <w:rsid w:val="001C4EA0"/>
    <w:rsid w:val="00213B07"/>
    <w:rsid w:val="002F2613"/>
    <w:rsid w:val="0032539F"/>
    <w:rsid w:val="009B0B10"/>
    <w:rsid w:val="00AC4ACC"/>
    <w:rsid w:val="00B72082"/>
    <w:rsid w:val="00C06C8D"/>
    <w:rsid w:val="00C2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6072"/>
  <w15:chartTrackingRefBased/>
  <w15:docId w15:val="{A40DEF39-5CF7-4ACF-BAFF-51C126D2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EA0"/>
  </w:style>
  <w:style w:type="paragraph" w:styleId="Footer">
    <w:name w:val="footer"/>
    <w:basedOn w:val="Normal"/>
    <w:link w:val="FooterChar"/>
    <w:uiPriority w:val="99"/>
    <w:unhideWhenUsed/>
    <w:rsid w:val="001C4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Lawless</dc:creator>
  <cp:keywords/>
  <dc:description/>
  <cp:lastModifiedBy>Richard Lawless</cp:lastModifiedBy>
  <cp:revision>2</cp:revision>
  <dcterms:created xsi:type="dcterms:W3CDTF">2026-06-09T03:31:00Z</dcterms:created>
  <dcterms:modified xsi:type="dcterms:W3CDTF">2026-06-09T03:34:00Z</dcterms:modified>
</cp:coreProperties>
</file>