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color w:val="16A085"/>
          <w:sz w:val="44"/>
        </w:rPr>
        <w:t>Exploratory Data Analysis (EDA) &amp; Data Storytelling</w:t>
        <w:br/>
        <w:t>Using R</w:t>
      </w:r>
    </w:p>
    <w:p>
      <w:pPr>
        <w:spacing w:after="360"/>
        <w:jc w:val="center"/>
      </w:pPr>
      <w:r>
        <w:rPr>
          <w:i/>
          <w:color w:val="555555"/>
          <w:sz w:val="24"/>
        </w:rPr>
        <w:t>Case Study: Hotel Booking Demand &amp; Cancellation Analytics</w:t>
      </w:r>
    </w:p>
    <w:p>
      <w:pPr>
        <w:jc w:val="center"/>
      </w:pPr>
      <w:r>
        <w:rPr>
          <w:b/>
          <w:color w:val="16A085"/>
          <w:sz w:val="19"/>
        </w:rPr>
        <w:t>Course: Data Analytics with R  |  Dataset: hotel_bookings.csv (119,390 Observations)</w:t>
      </w:r>
    </w:p>
    <w:p>
      <w:pPr>
        <w:spacing w:after="240"/>
      </w:pPr>
    </w:p>
    <w:p>
      <w:pPr>
        <w:pStyle w:val="Heading1"/>
      </w:pPr>
      <w:r>
        <w:t>Task 1: Dataset Introduction</w:t>
      </w:r>
    </w:p>
    <w:p>
      <w:r>
        <w:t>This assignment conducts an Exploratory Data Analysis (EDA) on the Hotel Booking Demand Dataset. The dataset contains 119,390 real-world booking records from two hotel properties in Portugal (a Resort Hotel and a City Hotel). It includes 32 variables capturing booking lead time, length of stay, customer demographics, market channel segmentation, ADR, and cancellation status.</w:t>
      </w:r>
    </w:p>
    <w:p>
      <w:pPr>
        <w:spacing w:after="200"/>
      </w:pPr>
      <w:r>
        <w:rPr>
          <w:b/>
        </w:rPr>
        <w:t xml:space="preserve">Primary Analytical Objective: </w:t>
      </w:r>
      <w:r>
        <w:t>To investigate key drivers of booking cancellations, evaluate average daily rate (ADR) variations across hotel types and market segments, and provide data-backed recommendations for revenue optimization.</w:t>
      </w:r>
    </w:p>
    <w:p>
      <w:r>
        <w:rPr>
          <w:b/>
        </w:rPr>
        <w:t>Table 1: Key Dataset Variables and Descriptions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6A085"/>
          </w:tcPr>
          <w:p>
            <w:r>
              <w:rPr>
                <w:b/>
                <w:color w:val="FFFFFF"/>
                <w:sz w:val="19"/>
              </w:rPr>
              <w:t>Variable Name</w:t>
            </w:r>
          </w:p>
        </w:tc>
        <w:tc>
          <w:tcPr>
            <w:tcW w:type="dxa" w:w="2340"/>
            <w:shd w:fill="16A085"/>
          </w:tcPr>
          <w:p>
            <w:r>
              <w:rPr>
                <w:b/>
                <w:color w:val="FFFFFF"/>
                <w:sz w:val="19"/>
              </w:rPr>
              <w:t>Data Type</w:t>
            </w:r>
          </w:p>
        </w:tc>
        <w:tc>
          <w:tcPr>
            <w:tcW w:type="dxa" w:w="2340"/>
            <w:shd w:fill="16A085"/>
          </w:tcPr>
          <w:p>
            <w:r>
              <w:rPr>
                <w:b/>
                <w:color w:val="FFFFFF"/>
                <w:sz w:val="19"/>
              </w:rPr>
              <w:t>Role / Domain</w:t>
            </w:r>
          </w:p>
        </w:tc>
        <w:tc>
          <w:tcPr>
            <w:tcW w:type="dxa" w:w="2340"/>
            <w:shd w:fill="16A085"/>
          </w:tcPr>
          <w:p>
            <w:r>
              <w:rPr>
                <w:b/>
                <w:color w:val="FFFFFF"/>
                <w:sz w:val="19"/>
              </w:rPr>
              <w:t>Description</w:t>
            </w:r>
          </w:p>
        </w:tc>
      </w:tr>
      <w:tr>
        <w:tc>
          <w:tcPr>
            <w:tcW w:type="dxa" w:w="2340"/>
            <w:shd w:fill="F9FAFC"/>
            <w:tcMar>
              <w:top w:w="60" w:type="dxa"/>
              <w:bottom w:w="60" w:type="dxa"/>
              <w:left w:w="100" w:type="dxa"/>
              <w:right w:w="100" w:type="dxa"/>
            </w:tcMar>
          </w:tcPr>
          <w:p>
            <w:pPr>
              <w:spacing w:after="40" w:before="40"/>
            </w:pPr>
            <w:r>
              <w:rPr>
                <w:b/>
                <w:sz w:val="18"/>
              </w:rPr>
              <w:t>hotel</w:t>
            </w:r>
          </w:p>
        </w:tc>
        <w:tc>
          <w:tcPr>
            <w:tcW w:type="dxa" w:w="2340"/>
            <w:shd w:fill="F9FAFC"/>
            <w:tcMar>
              <w:top w:w="60" w:type="dxa"/>
              <w:bottom w:w="60" w:type="dxa"/>
              <w:left w:w="100" w:type="dxa"/>
              <w:right w:w="100" w:type="dxa"/>
            </w:tcMar>
          </w:tcPr>
          <w:p>
            <w:pPr>
              <w:spacing w:after="40" w:before="40"/>
            </w:pPr>
            <w:r>
              <w:rPr>
                <w:sz w:val="18"/>
              </w:rPr>
              <w:t>Factor</w:t>
            </w:r>
          </w:p>
        </w:tc>
        <w:tc>
          <w:tcPr>
            <w:tcW w:type="dxa" w:w="2340"/>
            <w:shd w:fill="F9FAFC"/>
            <w:tcMar>
              <w:top w:w="60" w:type="dxa"/>
              <w:bottom w:w="60" w:type="dxa"/>
              <w:left w:w="100" w:type="dxa"/>
              <w:right w:w="100" w:type="dxa"/>
            </w:tcMar>
          </w:tcPr>
          <w:p>
            <w:pPr>
              <w:spacing w:after="40" w:before="40"/>
            </w:pPr>
            <w:r>
              <w:rPr>
                <w:sz w:val="18"/>
              </w:rPr>
              <w:t>Categorical</w:t>
            </w:r>
          </w:p>
        </w:tc>
        <w:tc>
          <w:tcPr>
            <w:tcW w:type="dxa" w:w="2340"/>
            <w:shd w:fill="F9FAFC"/>
            <w:tcMar>
              <w:top w:w="60" w:type="dxa"/>
              <w:bottom w:w="60" w:type="dxa"/>
              <w:left w:w="100" w:type="dxa"/>
              <w:right w:w="100" w:type="dxa"/>
            </w:tcMar>
          </w:tcPr>
          <w:p>
            <w:pPr>
              <w:spacing w:after="40" w:before="40"/>
            </w:pPr>
            <w:r>
              <w:rPr>
                <w:sz w:val="18"/>
              </w:rPr>
              <w:t>Type of hotel property (Resort Hotel or City Hotel)</w:t>
            </w:r>
          </w:p>
        </w:tc>
      </w:tr>
      <w:tr>
        <w:tc>
          <w:tcPr>
            <w:tcW w:type="dxa" w:w="2340"/>
            <w:shd w:fill="FFFFFF"/>
            <w:tcMar>
              <w:top w:w="60" w:type="dxa"/>
              <w:bottom w:w="60" w:type="dxa"/>
              <w:left w:w="100" w:type="dxa"/>
              <w:right w:w="100" w:type="dxa"/>
            </w:tcMar>
          </w:tcPr>
          <w:p>
            <w:pPr>
              <w:spacing w:after="40" w:before="40"/>
            </w:pPr>
            <w:r>
              <w:rPr>
                <w:b/>
                <w:sz w:val="18"/>
              </w:rPr>
              <w:t>is_canceled</w:t>
            </w:r>
          </w:p>
        </w:tc>
        <w:tc>
          <w:tcPr>
            <w:tcW w:type="dxa" w:w="2340"/>
            <w:shd w:fill="FFFFFF"/>
            <w:tcMar>
              <w:top w:w="60" w:type="dxa"/>
              <w:bottom w:w="60" w:type="dxa"/>
              <w:left w:w="100" w:type="dxa"/>
              <w:right w:w="100" w:type="dxa"/>
            </w:tcMar>
          </w:tcPr>
          <w:p>
            <w:pPr>
              <w:spacing w:after="40" w:before="40"/>
            </w:pPr>
            <w:r>
              <w:rPr>
                <w:sz w:val="18"/>
              </w:rPr>
              <w:t>Integer / Factor</w:t>
            </w:r>
          </w:p>
        </w:tc>
        <w:tc>
          <w:tcPr>
            <w:tcW w:type="dxa" w:w="2340"/>
            <w:shd w:fill="FFFFFF"/>
            <w:tcMar>
              <w:top w:w="60" w:type="dxa"/>
              <w:bottom w:w="60" w:type="dxa"/>
              <w:left w:w="100" w:type="dxa"/>
              <w:right w:w="100" w:type="dxa"/>
            </w:tcMar>
          </w:tcPr>
          <w:p>
            <w:pPr>
              <w:spacing w:after="40" w:before="40"/>
            </w:pPr>
            <w:r>
              <w:rPr>
                <w:sz w:val="18"/>
              </w:rPr>
              <w:t>Binary (0/1)</w:t>
            </w:r>
          </w:p>
        </w:tc>
        <w:tc>
          <w:tcPr>
            <w:tcW w:type="dxa" w:w="2340"/>
            <w:shd w:fill="FFFFFF"/>
            <w:tcMar>
              <w:top w:w="60" w:type="dxa"/>
              <w:bottom w:w="60" w:type="dxa"/>
              <w:left w:w="100" w:type="dxa"/>
              <w:right w:w="100" w:type="dxa"/>
            </w:tcMar>
          </w:tcPr>
          <w:p>
            <w:pPr>
              <w:spacing w:after="40" w:before="40"/>
            </w:pPr>
            <w:r>
              <w:rPr>
                <w:sz w:val="18"/>
              </w:rPr>
              <w:t>Cancellation indicator (1 = Canceled, 0 = Not Canceled)</w:t>
            </w:r>
          </w:p>
        </w:tc>
      </w:tr>
      <w:tr>
        <w:tc>
          <w:tcPr>
            <w:tcW w:type="dxa" w:w="2340"/>
            <w:shd w:fill="F9FAFC"/>
            <w:tcMar>
              <w:top w:w="60" w:type="dxa"/>
              <w:bottom w:w="60" w:type="dxa"/>
              <w:left w:w="100" w:type="dxa"/>
              <w:right w:w="100" w:type="dxa"/>
            </w:tcMar>
          </w:tcPr>
          <w:p>
            <w:pPr>
              <w:spacing w:after="40" w:before="40"/>
            </w:pPr>
            <w:r>
              <w:rPr>
                <w:b/>
                <w:sz w:val="18"/>
              </w:rPr>
              <w:t>lead_time</w:t>
            </w:r>
          </w:p>
        </w:tc>
        <w:tc>
          <w:tcPr>
            <w:tcW w:type="dxa" w:w="2340"/>
            <w:shd w:fill="F9FAFC"/>
            <w:tcMar>
              <w:top w:w="60" w:type="dxa"/>
              <w:bottom w:w="60" w:type="dxa"/>
              <w:left w:w="100" w:type="dxa"/>
              <w:right w:w="100" w:type="dxa"/>
            </w:tcMar>
          </w:tcPr>
          <w:p>
            <w:pPr>
              <w:spacing w:after="40" w:before="40"/>
            </w:pPr>
            <w:r>
              <w:rPr>
                <w:sz w:val="18"/>
              </w:rPr>
              <w:t>Integer</w:t>
            </w:r>
          </w:p>
        </w:tc>
        <w:tc>
          <w:tcPr>
            <w:tcW w:type="dxa" w:w="2340"/>
            <w:shd w:fill="F9FAFC"/>
            <w:tcMar>
              <w:top w:w="60" w:type="dxa"/>
              <w:bottom w:w="60" w:type="dxa"/>
              <w:left w:w="100" w:type="dxa"/>
              <w:right w:w="100" w:type="dxa"/>
            </w:tcMar>
          </w:tcPr>
          <w:p>
            <w:pPr>
              <w:spacing w:after="40" w:before="40"/>
            </w:pPr>
            <w:r>
              <w:rPr>
                <w:sz w:val="18"/>
              </w:rPr>
              <w:t>Continuous (Days)</w:t>
            </w:r>
          </w:p>
        </w:tc>
        <w:tc>
          <w:tcPr>
            <w:tcW w:type="dxa" w:w="2340"/>
            <w:shd w:fill="F9FAFC"/>
            <w:tcMar>
              <w:top w:w="60" w:type="dxa"/>
              <w:bottom w:w="60" w:type="dxa"/>
              <w:left w:w="100" w:type="dxa"/>
              <w:right w:w="100" w:type="dxa"/>
            </w:tcMar>
          </w:tcPr>
          <w:p>
            <w:pPr>
              <w:spacing w:after="40" w:before="40"/>
            </w:pPr>
            <w:r>
              <w:rPr>
                <w:sz w:val="18"/>
              </w:rPr>
              <w:t>Number of days between booking date and arrival date</w:t>
            </w:r>
          </w:p>
        </w:tc>
      </w:tr>
      <w:tr>
        <w:tc>
          <w:tcPr>
            <w:tcW w:type="dxa" w:w="2340"/>
            <w:shd w:fill="FFFFFF"/>
            <w:tcMar>
              <w:top w:w="60" w:type="dxa"/>
              <w:bottom w:w="60" w:type="dxa"/>
              <w:left w:w="100" w:type="dxa"/>
              <w:right w:w="100" w:type="dxa"/>
            </w:tcMar>
          </w:tcPr>
          <w:p>
            <w:pPr>
              <w:spacing w:after="40" w:before="40"/>
            </w:pPr>
            <w:r>
              <w:rPr>
                <w:b/>
                <w:sz w:val="18"/>
              </w:rPr>
              <w:t>arrival_date_month</w:t>
            </w:r>
          </w:p>
        </w:tc>
        <w:tc>
          <w:tcPr>
            <w:tcW w:type="dxa" w:w="2340"/>
            <w:shd w:fill="FFFFFF"/>
            <w:tcMar>
              <w:top w:w="60" w:type="dxa"/>
              <w:bottom w:w="60" w:type="dxa"/>
              <w:left w:w="100" w:type="dxa"/>
              <w:right w:w="100" w:type="dxa"/>
            </w:tcMar>
          </w:tcPr>
          <w:p>
            <w:pPr>
              <w:spacing w:after="40" w:before="40"/>
            </w:pPr>
            <w:r>
              <w:rPr>
                <w:sz w:val="18"/>
              </w:rPr>
              <w:t>Character</w:t>
            </w:r>
          </w:p>
        </w:tc>
        <w:tc>
          <w:tcPr>
            <w:tcW w:type="dxa" w:w="2340"/>
            <w:shd w:fill="FFFFFF"/>
            <w:tcMar>
              <w:top w:w="60" w:type="dxa"/>
              <w:bottom w:w="60" w:type="dxa"/>
              <w:left w:w="100" w:type="dxa"/>
              <w:right w:w="100" w:type="dxa"/>
            </w:tcMar>
          </w:tcPr>
          <w:p>
            <w:pPr>
              <w:spacing w:after="40" w:before="40"/>
            </w:pPr>
            <w:r>
              <w:rPr>
                <w:sz w:val="18"/>
              </w:rPr>
              <w:t>Categorical</w:t>
            </w:r>
          </w:p>
        </w:tc>
        <w:tc>
          <w:tcPr>
            <w:tcW w:type="dxa" w:w="2340"/>
            <w:shd w:fill="FFFFFF"/>
            <w:tcMar>
              <w:top w:w="60" w:type="dxa"/>
              <w:bottom w:w="60" w:type="dxa"/>
              <w:left w:w="100" w:type="dxa"/>
              <w:right w:w="100" w:type="dxa"/>
            </w:tcMar>
          </w:tcPr>
          <w:p>
            <w:pPr>
              <w:spacing w:after="40" w:before="40"/>
            </w:pPr>
            <w:r>
              <w:rPr>
                <w:sz w:val="18"/>
              </w:rPr>
              <w:t>Month of customer arrival</w:t>
            </w:r>
          </w:p>
        </w:tc>
      </w:tr>
      <w:tr>
        <w:tc>
          <w:tcPr>
            <w:tcW w:type="dxa" w:w="2340"/>
            <w:shd w:fill="F9FAFC"/>
            <w:tcMar>
              <w:top w:w="60" w:type="dxa"/>
              <w:bottom w:w="60" w:type="dxa"/>
              <w:left w:w="100" w:type="dxa"/>
              <w:right w:w="100" w:type="dxa"/>
            </w:tcMar>
          </w:tcPr>
          <w:p>
            <w:pPr>
              <w:spacing w:after="40" w:before="40"/>
            </w:pPr>
            <w:r>
              <w:rPr>
                <w:b/>
                <w:sz w:val="18"/>
              </w:rPr>
              <w:t>market_segment</w:t>
            </w:r>
          </w:p>
        </w:tc>
        <w:tc>
          <w:tcPr>
            <w:tcW w:type="dxa" w:w="2340"/>
            <w:shd w:fill="F9FAFC"/>
            <w:tcMar>
              <w:top w:w="60" w:type="dxa"/>
              <w:bottom w:w="60" w:type="dxa"/>
              <w:left w:w="100" w:type="dxa"/>
              <w:right w:w="100" w:type="dxa"/>
            </w:tcMar>
          </w:tcPr>
          <w:p>
            <w:pPr>
              <w:spacing w:after="40" w:before="40"/>
            </w:pPr>
            <w:r>
              <w:rPr>
                <w:sz w:val="18"/>
              </w:rPr>
              <w:t>Character</w:t>
            </w:r>
          </w:p>
        </w:tc>
        <w:tc>
          <w:tcPr>
            <w:tcW w:type="dxa" w:w="2340"/>
            <w:shd w:fill="F9FAFC"/>
            <w:tcMar>
              <w:top w:w="60" w:type="dxa"/>
              <w:bottom w:w="60" w:type="dxa"/>
              <w:left w:w="100" w:type="dxa"/>
              <w:right w:w="100" w:type="dxa"/>
            </w:tcMar>
          </w:tcPr>
          <w:p>
            <w:pPr>
              <w:spacing w:after="40" w:before="40"/>
            </w:pPr>
            <w:r>
              <w:rPr>
                <w:sz w:val="18"/>
              </w:rPr>
              <w:t>Categorical</w:t>
            </w:r>
          </w:p>
        </w:tc>
        <w:tc>
          <w:tcPr>
            <w:tcW w:type="dxa" w:w="2340"/>
            <w:shd w:fill="F9FAFC"/>
            <w:tcMar>
              <w:top w:w="60" w:type="dxa"/>
              <w:bottom w:w="60" w:type="dxa"/>
              <w:left w:w="100" w:type="dxa"/>
              <w:right w:w="100" w:type="dxa"/>
            </w:tcMar>
          </w:tcPr>
          <w:p>
            <w:pPr>
              <w:spacing w:after="40" w:before="40"/>
            </w:pPr>
            <w:r>
              <w:rPr>
                <w:sz w:val="18"/>
              </w:rPr>
              <w:t>Booking market segment (Direct, Online TA, Offline TA/TO, Corporate)</w:t>
            </w:r>
          </w:p>
        </w:tc>
      </w:tr>
      <w:tr>
        <w:tc>
          <w:tcPr>
            <w:tcW w:type="dxa" w:w="2340"/>
            <w:shd w:fill="FFFFFF"/>
            <w:tcMar>
              <w:top w:w="60" w:type="dxa"/>
              <w:bottom w:w="60" w:type="dxa"/>
              <w:left w:w="100" w:type="dxa"/>
              <w:right w:w="100" w:type="dxa"/>
            </w:tcMar>
          </w:tcPr>
          <w:p>
            <w:pPr>
              <w:spacing w:after="40" w:before="40"/>
            </w:pPr>
            <w:r>
              <w:rPr>
                <w:b/>
                <w:sz w:val="18"/>
              </w:rPr>
              <w:t>customer_type</w:t>
            </w:r>
          </w:p>
        </w:tc>
        <w:tc>
          <w:tcPr>
            <w:tcW w:type="dxa" w:w="2340"/>
            <w:shd w:fill="FFFFFF"/>
            <w:tcMar>
              <w:top w:w="60" w:type="dxa"/>
              <w:bottom w:w="60" w:type="dxa"/>
              <w:left w:w="100" w:type="dxa"/>
              <w:right w:w="100" w:type="dxa"/>
            </w:tcMar>
          </w:tcPr>
          <w:p>
            <w:pPr>
              <w:spacing w:after="40" w:before="40"/>
            </w:pPr>
            <w:r>
              <w:rPr>
                <w:sz w:val="18"/>
              </w:rPr>
              <w:t>Character</w:t>
            </w:r>
          </w:p>
        </w:tc>
        <w:tc>
          <w:tcPr>
            <w:tcW w:type="dxa" w:w="2340"/>
            <w:shd w:fill="FFFFFF"/>
            <w:tcMar>
              <w:top w:w="60" w:type="dxa"/>
              <w:bottom w:w="60" w:type="dxa"/>
              <w:left w:w="100" w:type="dxa"/>
              <w:right w:w="100" w:type="dxa"/>
            </w:tcMar>
          </w:tcPr>
          <w:p>
            <w:pPr>
              <w:spacing w:after="40" w:before="40"/>
            </w:pPr>
            <w:r>
              <w:rPr>
                <w:sz w:val="18"/>
              </w:rPr>
              <w:t>Categorical</w:t>
            </w:r>
          </w:p>
        </w:tc>
        <w:tc>
          <w:tcPr>
            <w:tcW w:type="dxa" w:w="2340"/>
            <w:shd w:fill="FFFFFF"/>
            <w:tcMar>
              <w:top w:w="60" w:type="dxa"/>
              <w:bottom w:w="60" w:type="dxa"/>
              <w:left w:w="100" w:type="dxa"/>
              <w:right w:w="100" w:type="dxa"/>
            </w:tcMar>
          </w:tcPr>
          <w:p>
            <w:pPr>
              <w:spacing w:after="40" w:before="40"/>
            </w:pPr>
            <w:r>
              <w:rPr>
                <w:sz w:val="18"/>
              </w:rPr>
              <w:t>Customer type (Transient, Contract, Transient-Party, Group)</w:t>
            </w:r>
          </w:p>
        </w:tc>
      </w:tr>
      <w:tr>
        <w:tc>
          <w:tcPr>
            <w:tcW w:type="dxa" w:w="2340"/>
            <w:shd w:fill="F9FAFC"/>
            <w:tcMar>
              <w:top w:w="60" w:type="dxa"/>
              <w:bottom w:w="60" w:type="dxa"/>
              <w:left w:w="100" w:type="dxa"/>
              <w:right w:w="100" w:type="dxa"/>
            </w:tcMar>
          </w:tcPr>
          <w:p>
            <w:pPr>
              <w:spacing w:after="40" w:before="40"/>
            </w:pPr>
            <w:r>
              <w:rPr>
                <w:b/>
                <w:sz w:val="18"/>
              </w:rPr>
              <w:t>adr</w:t>
            </w:r>
          </w:p>
        </w:tc>
        <w:tc>
          <w:tcPr>
            <w:tcW w:type="dxa" w:w="2340"/>
            <w:shd w:fill="F9FAFC"/>
            <w:tcMar>
              <w:top w:w="60" w:type="dxa"/>
              <w:bottom w:w="60" w:type="dxa"/>
              <w:left w:w="100" w:type="dxa"/>
              <w:right w:w="100" w:type="dxa"/>
            </w:tcMar>
          </w:tcPr>
          <w:p>
            <w:pPr>
              <w:spacing w:after="40" w:before="40"/>
            </w:pPr>
            <w:r>
              <w:rPr>
                <w:sz w:val="18"/>
              </w:rPr>
              <w:t>Numeric</w:t>
            </w:r>
          </w:p>
        </w:tc>
        <w:tc>
          <w:tcPr>
            <w:tcW w:type="dxa" w:w="2340"/>
            <w:shd w:fill="F9FAFC"/>
            <w:tcMar>
              <w:top w:w="60" w:type="dxa"/>
              <w:bottom w:w="60" w:type="dxa"/>
              <w:left w:w="100" w:type="dxa"/>
              <w:right w:w="100" w:type="dxa"/>
            </w:tcMar>
          </w:tcPr>
          <w:p>
            <w:pPr>
              <w:spacing w:after="40" w:before="40"/>
            </w:pPr>
            <w:r>
              <w:rPr>
                <w:sz w:val="18"/>
              </w:rPr>
              <w:t>Continuous ($USD)</w:t>
            </w:r>
          </w:p>
        </w:tc>
        <w:tc>
          <w:tcPr>
            <w:tcW w:type="dxa" w:w="2340"/>
            <w:shd w:fill="F9FAFC"/>
            <w:tcMar>
              <w:top w:w="60" w:type="dxa"/>
              <w:bottom w:w="60" w:type="dxa"/>
              <w:left w:w="100" w:type="dxa"/>
              <w:right w:w="100" w:type="dxa"/>
            </w:tcMar>
          </w:tcPr>
          <w:p>
            <w:pPr>
              <w:spacing w:after="40" w:before="40"/>
            </w:pPr>
            <w:r>
              <w:rPr>
                <w:sz w:val="18"/>
              </w:rPr>
              <w:t>Average Daily Rate (calculated by total lodging transaction amount divided by total stay nights)</w:t>
            </w:r>
          </w:p>
        </w:tc>
      </w:tr>
    </w:tbl>
    <w:p>
      <w:pPr>
        <w:spacing w:after="240"/>
      </w:pPr>
    </w:p>
    <w:p>
      <w:pPr>
        <w:pStyle w:val="Heading1"/>
      </w:pPr>
      <w:r>
        <w:t>Task 2: Data Import and Pre-processing</w:t>
      </w:r>
    </w:p>
    <w:p>
      <w:r>
        <w:t>Data pre-processing was executed in R using readr, dplyr, and tidyr. Upon importing hotel_bookings.csv, 4 missing values were identified in the children variable, which were imputed with 0. The hotel attribute was converted into a categorical factor, and derived features such as total_stay (weekend + week nights) and is_canceled_factor were created for clean reporting.</w:t>
      </w:r>
    </w:p>
    <w:p>
      <w:r>
        <w:rPr>
          <w:i/>
        </w:rPr>
        <w:t>R Code snippet for Data Import &amp; Pre-processing:</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CCCCCC"/>
              <w:left w:val="single" w:sz="18" w:space="0" w:color="16A085"/>
              <w:bottom w:val="single" w:sz="4" w:space="0" w:color="CCCCCC"/>
              <w:right w:val="single" w:sz="4" w:space="0" w:color="CCCCCC"/>
            </w:tcBorders>
          </w:tcPr>
          <w:p>
            <w:pPr>
              <w:spacing w:before="40" w:after="40"/>
            </w:pPr>
            <w:r>
              <w:rPr>
                <w:rFonts w:ascii="Consolas" w:hAnsi="Consolas"/>
                <w:color w:val="2C3E50"/>
                <w:sz w:val="19"/>
              </w:rPr>
              <w:t># Task 2: Data Import, Inspection &amp; Preprocessing</w:t>
              <w:br/>
              <w:t>library(dplyr)</w:t>
              <w:br/>
              <w:br/>
              <w:t># 1. Import dataset</w:t>
              <w:br/>
              <w:t>df_hotel &lt;- read.csv("hotel_bookings.csv", stringsAsFactors = FALSE)</w:t>
              <w:br/>
              <w:br/>
              <w:t># 2. Inspect structure &amp; missing values</w:t>
              <w:br/>
              <w:t>cat("Dimensions:", dim(df_hotel), "\n")</w:t>
              <w:br/>
              <w:t>cat("Missing values in children:", sum(is.na(df_hotel$children)), "\n")</w:t>
              <w:br/>
              <w:br/>
              <w:t># 3. Clean &amp; transform data types</w:t>
              <w:br/>
              <w:t>df_hotel$children[is.na(df_hotel$children)] &lt;- 0</w:t>
              <w:br/>
              <w:t>df_hotel$hotel &lt;- as.factor(df_hotel$hotel)</w:t>
              <w:br/>
              <w:t>df_hotel$is_canceled_factor &lt;- factor(df_hotel$is_canceled, levels = c(0, 1), labels = c("Not Canceled", "Canceled"))</w:t>
              <w:br/>
              <w:t>df_hotel$total_stay &lt;- df_hotel$stays_in_weekend_nights + df_hotel$stays_in_week_nights</w:t>
            </w:r>
          </w:p>
        </w:tc>
      </w:tr>
    </w:tbl>
    <w:p>
      <w:pPr>
        <w:spacing w:after="120"/>
      </w:pPr>
    </w:p>
    <w:p>
      <w:pPr>
        <w:pStyle w:val="Heading1"/>
      </w:pPr>
      <w:r>
        <w:t>Task 3: Descriptive Statistics</w:t>
      </w:r>
    </w:p>
    <w:p>
      <w:r>
        <w:t>Descriptive statistics were computed across all primary numerical features. The Lead Time variable averages 104.01 days (Median = 69 days, SD = 106.86 days), showing substantial right skewness (+1.35). Average Daily Rate (ADR) averages $101.83 (Median = $94.58, SD = $50.54), with upper extreme values reflecting luxury suites.</w:t>
      </w:r>
    </w:p>
    <w:p>
      <w:r>
        <w:rPr>
          <w:b/>
        </w:rPr>
        <w:t>Table 2: Summary Descriptive Statistics</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6A085"/>
          </w:tcPr>
          <w:p>
            <w:r>
              <w:rPr>
                <w:b/>
                <w:color w:val="FFFFFF"/>
                <w:sz w:val="17"/>
              </w:rPr>
              <w:t>Variable</w:t>
            </w:r>
          </w:p>
        </w:tc>
        <w:tc>
          <w:tcPr>
            <w:tcW w:type="dxa" w:w="851"/>
            <w:shd w:fill="16A085"/>
          </w:tcPr>
          <w:p>
            <w:r>
              <w:rPr>
                <w:b/>
                <w:color w:val="FFFFFF"/>
                <w:sz w:val="17"/>
              </w:rPr>
              <w:t>Mean</w:t>
            </w:r>
          </w:p>
        </w:tc>
        <w:tc>
          <w:tcPr>
            <w:tcW w:type="dxa" w:w="851"/>
            <w:shd w:fill="16A085"/>
          </w:tcPr>
          <w:p>
            <w:r>
              <w:rPr>
                <w:b/>
                <w:color w:val="FFFFFF"/>
                <w:sz w:val="17"/>
              </w:rPr>
              <w:t>Median</w:t>
            </w:r>
          </w:p>
        </w:tc>
        <w:tc>
          <w:tcPr>
            <w:tcW w:type="dxa" w:w="851"/>
            <w:shd w:fill="16A085"/>
          </w:tcPr>
          <w:p>
            <w:r>
              <w:rPr>
                <w:b/>
                <w:color w:val="FFFFFF"/>
                <w:sz w:val="17"/>
              </w:rPr>
              <w:t>Mode</w:t>
            </w:r>
          </w:p>
        </w:tc>
        <w:tc>
          <w:tcPr>
            <w:tcW w:type="dxa" w:w="851"/>
            <w:shd w:fill="16A085"/>
          </w:tcPr>
          <w:p>
            <w:r>
              <w:rPr>
                <w:b/>
                <w:color w:val="FFFFFF"/>
                <w:sz w:val="17"/>
              </w:rPr>
              <w:t>SD</w:t>
            </w:r>
          </w:p>
        </w:tc>
        <w:tc>
          <w:tcPr>
            <w:tcW w:type="dxa" w:w="851"/>
            <w:shd w:fill="16A085"/>
          </w:tcPr>
          <w:p>
            <w:r>
              <w:rPr>
                <w:b/>
                <w:color w:val="FFFFFF"/>
                <w:sz w:val="17"/>
              </w:rPr>
              <w:t>Min</w:t>
            </w:r>
          </w:p>
        </w:tc>
        <w:tc>
          <w:tcPr>
            <w:tcW w:type="dxa" w:w="851"/>
            <w:shd w:fill="16A085"/>
          </w:tcPr>
          <w:p>
            <w:r>
              <w:rPr>
                <w:b/>
                <w:color w:val="FFFFFF"/>
                <w:sz w:val="17"/>
              </w:rPr>
              <w:t>Q1</w:t>
            </w:r>
          </w:p>
        </w:tc>
        <w:tc>
          <w:tcPr>
            <w:tcW w:type="dxa" w:w="851"/>
            <w:shd w:fill="16A085"/>
          </w:tcPr>
          <w:p>
            <w:r>
              <w:rPr>
                <w:b/>
                <w:color w:val="FFFFFF"/>
                <w:sz w:val="17"/>
              </w:rPr>
              <w:t>Q3</w:t>
            </w:r>
          </w:p>
        </w:tc>
        <w:tc>
          <w:tcPr>
            <w:tcW w:type="dxa" w:w="851"/>
            <w:shd w:fill="16A085"/>
          </w:tcPr>
          <w:p>
            <w:r>
              <w:rPr>
                <w:b/>
                <w:color w:val="FFFFFF"/>
                <w:sz w:val="17"/>
              </w:rPr>
              <w:t>IQR</w:t>
            </w:r>
          </w:p>
        </w:tc>
        <w:tc>
          <w:tcPr>
            <w:tcW w:type="dxa" w:w="851"/>
            <w:shd w:fill="16A085"/>
          </w:tcPr>
          <w:p>
            <w:r>
              <w:rPr>
                <w:b/>
                <w:color w:val="FFFFFF"/>
                <w:sz w:val="17"/>
              </w:rPr>
              <w:t>Max</w:t>
            </w:r>
          </w:p>
        </w:tc>
        <w:tc>
          <w:tcPr>
            <w:tcW w:type="dxa" w:w="851"/>
            <w:shd w:fill="16A085"/>
          </w:tcPr>
          <w:p>
            <w:r>
              <w:rPr>
                <w:b/>
                <w:color w:val="FFFFFF"/>
                <w:sz w:val="17"/>
              </w:rPr>
              <w:t>Skew</w:t>
            </w:r>
          </w:p>
        </w:tc>
      </w:tr>
      <w:tr>
        <w:tc>
          <w:tcPr>
            <w:tcW w:type="dxa" w:w="851"/>
            <w:shd w:fill="F9FAFC"/>
            <w:tcMar>
              <w:top w:w="50" w:type="dxa"/>
              <w:bottom w:w="50" w:type="dxa"/>
              <w:left w:w="60" w:type="dxa"/>
              <w:right w:w="60" w:type="dxa"/>
            </w:tcMar>
          </w:tcPr>
          <w:p>
            <w:pPr>
              <w:spacing w:after="40" w:before="40"/>
            </w:pPr>
            <w:r>
              <w:rPr>
                <w:b/>
                <w:sz w:val="17"/>
              </w:rPr>
              <w:t>lead_time (days)</w:t>
            </w:r>
          </w:p>
        </w:tc>
        <w:tc>
          <w:tcPr>
            <w:tcW w:type="dxa" w:w="851"/>
            <w:shd w:fill="F9FAFC"/>
            <w:tcMar>
              <w:top w:w="50" w:type="dxa"/>
              <w:bottom w:w="50" w:type="dxa"/>
              <w:left w:w="60" w:type="dxa"/>
              <w:right w:w="60" w:type="dxa"/>
            </w:tcMar>
          </w:tcPr>
          <w:p>
            <w:pPr>
              <w:spacing w:after="40" w:before="40"/>
            </w:pPr>
            <w:r>
              <w:rPr>
                <w:sz w:val="17"/>
              </w:rPr>
              <w:t>104.01</w:t>
            </w:r>
          </w:p>
        </w:tc>
        <w:tc>
          <w:tcPr>
            <w:tcW w:type="dxa" w:w="851"/>
            <w:shd w:fill="F9FAFC"/>
            <w:tcMar>
              <w:top w:w="50" w:type="dxa"/>
              <w:bottom w:w="50" w:type="dxa"/>
              <w:left w:w="60" w:type="dxa"/>
              <w:right w:w="60" w:type="dxa"/>
            </w:tcMar>
          </w:tcPr>
          <w:p>
            <w:pPr>
              <w:spacing w:after="40" w:before="40"/>
            </w:pPr>
            <w:r>
              <w:rPr>
                <w:sz w:val="17"/>
              </w:rPr>
              <w:t>69.00</w:t>
            </w:r>
          </w:p>
        </w:tc>
        <w:tc>
          <w:tcPr>
            <w:tcW w:type="dxa" w:w="851"/>
            <w:shd w:fill="F9FAFC"/>
            <w:tcMar>
              <w:top w:w="50" w:type="dxa"/>
              <w:bottom w:w="50" w:type="dxa"/>
              <w:left w:w="60" w:type="dxa"/>
              <w:right w:w="60" w:type="dxa"/>
            </w:tcMar>
          </w:tcPr>
          <w:p>
            <w:pPr>
              <w:spacing w:after="40" w:before="40"/>
            </w:pPr>
            <w:r>
              <w:rPr>
                <w:sz w:val="17"/>
              </w:rPr>
              <w:t>0</w:t>
            </w:r>
          </w:p>
        </w:tc>
        <w:tc>
          <w:tcPr>
            <w:tcW w:type="dxa" w:w="851"/>
            <w:shd w:fill="F9FAFC"/>
            <w:tcMar>
              <w:top w:w="50" w:type="dxa"/>
              <w:bottom w:w="50" w:type="dxa"/>
              <w:left w:w="60" w:type="dxa"/>
              <w:right w:w="60" w:type="dxa"/>
            </w:tcMar>
          </w:tcPr>
          <w:p>
            <w:pPr>
              <w:spacing w:after="40" w:before="40"/>
            </w:pPr>
            <w:r>
              <w:rPr>
                <w:sz w:val="17"/>
              </w:rPr>
              <w:t>106.86</w:t>
            </w:r>
          </w:p>
        </w:tc>
        <w:tc>
          <w:tcPr>
            <w:tcW w:type="dxa" w:w="851"/>
            <w:shd w:fill="F9FAFC"/>
            <w:tcMar>
              <w:top w:w="50" w:type="dxa"/>
              <w:bottom w:w="50" w:type="dxa"/>
              <w:left w:w="60" w:type="dxa"/>
              <w:right w:w="60" w:type="dxa"/>
            </w:tcMar>
          </w:tcPr>
          <w:p>
            <w:pPr>
              <w:spacing w:after="40" w:before="40"/>
            </w:pPr>
            <w:r>
              <w:rPr>
                <w:sz w:val="17"/>
              </w:rPr>
              <w:t>0</w:t>
            </w:r>
          </w:p>
        </w:tc>
        <w:tc>
          <w:tcPr>
            <w:tcW w:type="dxa" w:w="851"/>
            <w:shd w:fill="F9FAFC"/>
            <w:tcMar>
              <w:top w:w="50" w:type="dxa"/>
              <w:bottom w:w="50" w:type="dxa"/>
              <w:left w:w="60" w:type="dxa"/>
              <w:right w:w="60" w:type="dxa"/>
            </w:tcMar>
          </w:tcPr>
          <w:p>
            <w:pPr>
              <w:spacing w:after="40" w:before="40"/>
            </w:pPr>
            <w:r>
              <w:rPr>
                <w:sz w:val="17"/>
              </w:rPr>
              <w:t>18.00</w:t>
            </w:r>
          </w:p>
        </w:tc>
        <w:tc>
          <w:tcPr>
            <w:tcW w:type="dxa" w:w="851"/>
            <w:shd w:fill="F9FAFC"/>
            <w:tcMar>
              <w:top w:w="50" w:type="dxa"/>
              <w:bottom w:w="50" w:type="dxa"/>
              <w:left w:w="60" w:type="dxa"/>
              <w:right w:w="60" w:type="dxa"/>
            </w:tcMar>
          </w:tcPr>
          <w:p>
            <w:pPr>
              <w:spacing w:after="40" w:before="40"/>
            </w:pPr>
            <w:r>
              <w:rPr>
                <w:sz w:val="17"/>
              </w:rPr>
              <w:t>160.00</w:t>
            </w:r>
          </w:p>
        </w:tc>
        <w:tc>
          <w:tcPr>
            <w:tcW w:type="dxa" w:w="851"/>
            <w:shd w:fill="F9FAFC"/>
            <w:tcMar>
              <w:top w:w="50" w:type="dxa"/>
              <w:bottom w:w="50" w:type="dxa"/>
              <w:left w:w="60" w:type="dxa"/>
              <w:right w:w="60" w:type="dxa"/>
            </w:tcMar>
          </w:tcPr>
          <w:p>
            <w:pPr>
              <w:spacing w:after="40" w:before="40"/>
            </w:pPr>
            <w:r>
              <w:rPr>
                <w:sz w:val="17"/>
              </w:rPr>
              <w:t>142.00</w:t>
            </w:r>
          </w:p>
        </w:tc>
        <w:tc>
          <w:tcPr>
            <w:tcW w:type="dxa" w:w="851"/>
            <w:shd w:fill="F9FAFC"/>
            <w:tcMar>
              <w:top w:w="50" w:type="dxa"/>
              <w:bottom w:w="50" w:type="dxa"/>
              <w:left w:w="60" w:type="dxa"/>
              <w:right w:w="60" w:type="dxa"/>
            </w:tcMar>
          </w:tcPr>
          <w:p>
            <w:pPr>
              <w:spacing w:after="40" w:before="40"/>
            </w:pPr>
            <w:r>
              <w:rPr>
                <w:sz w:val="17"/>
              </w:rPr>
              <w:t>737</w:t>
            </w:r>
          </w:p>
        </w:tc>
        <w:tc>
          <w:tcPr>
            <w:tcW w:type="dxa" w:w="851"/>
            <w:shd w:fill="F9FAFC"/>
            <w:tcMar>
              <w:top w:w="50" w:type="dxa"/>
              <w:bottom w:w="50" w:type="dxa"/>
              <w:left w:w="60" w:type="dxa"/>
              <w:right w:w="60" w:type="dxa"/>
            </w:tcMar>
          </w:tcPr>
          <w:p>
            <w:pPr>
              <w:spacing w:after="40" w:before="40"/>
            </w:pPr>
            <w:r>
              <w:rPr>
                <w:sz w:val="17"/>
              </w:rPr>
              <w:t>+1.35</w:t>
            </w:r>
          </w:p>
        </w:tc>
      </w:tr>
      <w:tr>
        <w:tc>
          <w:tcPr>
            <w:tcW w:type="dxa" w:w="851"/>
            <w:shd w:fill="FFFFFF"/>
            <w:tcMar>
              <w:top w:w="50" w:type="dxa"/>
              <w:bottom w:w="50" w:type="dxa"/>
              <w:left w:w="60" w:type="dxa"/>
              <w:right w:w="60" w:type="dxa"/>
            </w:tcMar>
          </w:tcPr>
          <w:p>
            <w:pPr>
              <w:spacing w:after="40" w:before="40"/>
            </w:pPr>
            <w:r>
              <w:rPr>
                <w:b/>
                <w:sz w:val="17"/>
              </w:rPr>
              <w:t>adr ($USD)</w:t>
            </w:r>
          </w:p>
        </w:tc>
        <w:tc>
          <w:tcPr>
            <w:tcW w:type="dxa" w:w="851"/>
            <w:shd w:fill="FFFFFF"/>
            <w:tcMar>
              <w:top w:w="50" w:type="dxa"/>
              <w:bottom w:w="50" w:type="dxa"/>
              <w:left w:w="60" w:type="dxa"/>
              <w:right w:w="60" w:type="dxa"/>
            </w:tcMar>
          </w:tcPr>
          <w:p>
            <w:pPr>
              <w:spacing w:after="40" w:before="40"/>
            </w:pPr>
            <w:r>
              <w:rPr>
                <w:sz w:val="17"/>
              </w:rPr>
              <w:t>101.83</w:t>
            </w:r>
          </w:p>
        </w:tc>
        <w:tc>
          <w:tcPr>
            <w:tcW w:type="dxa" w:w="851"/>
            <w:shd w:fill="FFFFFF"/>
            <w:tcMar>
              <w:top w:w="50" w:type="dxa"/>
              <w:bottom w:w="50" w:type="dxa"/>
              <w:left w:w="60" w:type="dxa"/>
              <w:right w:w="60" w:type="dxa"/>
            </w:tcMar>
          </w:tcPr>
          <w:p>
            <w:pPr>
              <w:spacing w:after="40" w:before="40"/>
            </w:pPr>
            <w:r>
              <w:rPr>
                <w:sz w:val="17"/>
              </w:rPr>
              <w:t>94.58</w:t>
            </w:r>
          </w:p>
        </w:tc>
        <w:tc>
          <w:tcPr>
            <w:tcW w:type="dxa" w:w="851"/>
            <w:shd w:fill="FFFFFF"/>
            <w:tcMar>
              <w:top w:w="50" w:type="dxa"/>
              <w:bottom w:w="50" w:type="dxa"/>
              <w:left w:w="60" w:type="dxa"/>
              <w:right w:w="60" w:type="dxa"/>
            </w:tcMar>
          </w:tcPr>
          <w:p>
            <w:pPr>
              <w:spacing w:after="40" w:before="40"/>
            </w:pPr>
            <w:r>
              <w:rPr>
                <w:sz w:val="17"/>
              </w:rPr>
              <w:t>0</w:t>
            </w:r>
          </w:p>
        </w:tc>
        <w:tc>
          <w:tcPr>
            <w:tcW w:type="dxa" w:w="851"/>
            <w:shd w:fill="FFFFFF"/>
            <w:tcMar>
              <w:top w:w="50" w:type="dxa"/>
              <w:bottom w:w="50" w:type="dxa"/>
              <w:left w:w="60" w:type="dxa"/>
              <w:right w:w="60" w:type="dxa"/>
            </w:tcMar>
          </w:tcPr>
          <w:p>
            <w:pPr>
              <w:spacing w:after="40" w:before="40"/>
            </w:pPr>
            <w:r>
              <w:rPr>
                <w:sz w:val="17"/>
              </w:rPr>
              <w:t>50.54</w:t>
            </w:r>
          </w:p>
        </w:tc>
        <w:tc>
          <w:tcPr>
            <w:tcW w:type="dxa" w:w="851"/>
            <w:shd w:fill="FFFFFF"/>
            <w:tcMar>
              <w:top w:w="50" w:type="dxa"/>
              <w:bottom w:w="50" w:type="dxa"/>
              <w:left w:w="60" w:type="dxa"/>
              <w:right w:w="60" w:type="dxa"/>
            </w:tcMar>
          </w:tcPr>
          <w:p>
            <w:pPr>
              <w:spacing w:after="40" w:before="40"/>
            </w:pPr>
            <w:r>
              <w:rPr>
                <w:sz w:val="17"/>
              </w:rPr>
              <w:t>-6.38</w:t>
            </w:r>
          </w:p>
        </w:tc>
        <w:tc>
          <w:tcPr>
            <w:tcW w:type="dxa" w:w="851"/>
            <w:shd w:fill="FFFFFF"/>
            <w:tcMar>
              <w:top w:w="50" w:type="dxa"/>
              <w:bottom w:w="50" w:type="dxa"/>
              <w:left w:w="60" w:type="dxa"/>
              <w:right w:w="60" w:type="dxa"/>
            </w:tcMar>
          </w:tcPr>
          <w:p>
            <w:pPr>
              <w:spacing w:after="40" w:before="40"/>
            </w:pPr>
            <w:r>
              <w:rPr>
                <w:sz w:val="17"/>
              </w:rPr>
              <w:t>69.29</w:t>
            </w:r>
          </w:p>
        </w:tc>
        <w:tc>
          <w:tcPr>
            <w:tcW w:type="dxa" w:w="851"/>
            <w:shd w:fill="FFFFFF"/>
            <w:tcMar>
              <w:top w:w="50" w:type="dxa"/>
              <w:bottom w:w="50" w:type="dxa"/>
              <w:left w:w="60" w:type="dxa"/>
              <w:right w:w="60" w:type="dxa"/>
            </w:tcMar>
          </w:tcPr>
          <w:p>
            <w:pPr>
              <w:spacing w:after="40" w:before="40"/>
            </w:pPr>
            <w:r>
              <w:rPr>
                <w:sz w:val="17"/>
              </w:rPr>
              <w:t>126.00</w:t>
            </w:r>
          </w:p>
        </w:tc>
        <w:tc>
          <w:tcPr>
            <w:tcW w:type="dxa" w:w="851"/>
            <w:shd w:fill="FFFFFF"/>
            <w:tcMar>
              <w:top w:w="50" w:type="dxa"/>
              <w:bottom w:w="50" w:type="dxa"/>
              <w:left w:w="60" w:type="dxa"/>
              <w:right w:w="60" w:type="dxa"/>
            </w:tcMar>
          </w:tcPr>
          <w:p>
            <w:pPr>
              <w:spacing w:after="40" w:before="40"/>
            </w:pPr>
            <w:r>
              <w:rPr>
                <w:sz w:val="17"/>
              </w:rPr>
              <w:t>56.71</w:t>
            </w:r>
          </w:p>
        </w:tc>
        <w:tc>
          <w:tcPr>
            <w:tcW w:type="dxa" w:w="851"/>
            <w:shd w:fill="FFFFFF"/>
            <w:tcMar>
              <w:top w:w="50" w:type="dxa"/>
              <w:bottom w:w="50" w:type="dxa"/>
              <w:left w:w="60" w:type="dxa"/>
              <w:right w:w="60" w:type="dxa"/>
            </w:tcMar>
          </w:tcPr>
          <w:p>
            <w:pPr>
              <w:spacing w:after="40" w:before="40"/>
            </w:pPr>
            <w:r>
              <w:rPr>
                <w:sz w:val="17"/>
              </w:rPr>
              <w:t>5,400</w:t>
            </w:r>
          </w:p>
        </w:tc>
        <w:tc>
          <w:tcPr>
            <w:tcW w:type="dxa" w:w="851"/>
            <w:shd w:fill="FFFFFF"/>
            <w:tcMar>
              <w:top w:w="50" w:type="dxa"/>
              <w:bottom w:w="50" w:type="dxa"/>
              <w:left w:w="60" w:type="dxa"/>
              <w:right w:w="60" w:type="dxa"/>
            </w:tcMar>
          </w:tcPr>
          <w:p>
            <w:pPr>
              <w:spacing w:after="40" w:before="40"/>
            </w:pPr>
            <w:r>
              <w:rPr>
                <w:sz w:val="17"/>
              </w:rPr>
              <w:t>+10.53</w:t>
            </w:r>
          </w:p>
        </w:tc>
      </w:tr>
      <w:tr>
        <w:tc>
          <w:tcPr>
            <w:tcW w:type="dxa" w:w="851"/>
            <w:shd w:fill="F9FAFC"/>
            <w:tcMar>
              <w:top w:w="50" w:type="dxa"/>
              <w:bottom w:w="50" w:type="dxa"/>
              <w:left w:w="60" w:type="dxa"/>
              <w:right w:w="60" w:type="dxa"/>
            </w:tcMar>
          </w:tcPr>
          <w:p>
            <w:pPr>
              <w:spacing w:after="40" w:before="40"/>
            </w:pPr>
            <w:r>
              <w:rPr>
                <w:b/>
                <w:sz w:val="17"/>
              </w:rPr>
              <w:t>stays_in_week_nights</w:t>
            </w:r>
          </w:p>
        </w:tc>
        <w:tc>
          <w:tcPr>
            <w:tcW w:type="dxa" w:w="851"/>
            <w:shd w:fill="F9FAFC"/>
            <w:tcMar>
              <w:top w:w="50" w:type="dxa"/>
              <w:bottom w:w="50" w:type="dxa"/>
              <w:left w:w="60" w:type="dxa"/>
              <w:right w:w="60" w:type="dxa"/>
            </w:tcMar>
          </w:tcPr>
          <w:p>
            <w:pPr>
              <w:spacing w:after="40" w:before="40"/>
            </w:pPr>
            <w:r>
              <w:rPr>
                <w:sz w:val="17"/>
              </w:rPr>
              <w:t>2.50</w:t>
            </w:r>
          </w:p>
        </w:tc>
        <w:tc>
          <w:tcPr>
            <w:tcW w:type="dxa" w:w="851"/>
            <w:shd w:fill="F9FAFC"/>
            <w:tcMar>
              <w:top w:w="50" w:type="dxa"/>
              <w:bottom w:w="50" w:type="dxa"/>
              <w:left w:w="60" w:type="dxa"/>
              <w:right w:w="60" w:type="dxa"/>
            </w:tcMar>
          </w:tcPr>
          <w:p>
            <w:pPr>
              <w:spacing w:after="40" w:before="40"/>
            </w:pPr>
            <w:r>
              <w:rPr>
                <w:sz w:val="17"/>
              </w:rPr>
              <w:t>2.00</w:t>
            </w:r>
          </w:p>
        </w:tc>
        <w:tc>
          <w:tcPr>
            <w:tcW w:type="dxa" w:w="851"/>
            <w:shd w:fill="F9FAFC"/>
            <w:tcMar>
              <w:top w:w="50" w:type="dxa"/>
              <w:bottom w:w="50" w:type="dxa"/>
              <w:left w:w="60" w:type="dxa"/>
              <w:right w:w="60" w:type="dxa"/>
            </w:tcMar>
          </w:tcPr>
          <w:p>
            <w:pPr>
              <w:spacing w:after="40" w:before="40"/>
            </w:pPr>
            <w:r>
              <w:rPr>
                <w:sz w:val="17"/>
              </w:rPr>
              <w:t>1</w:t>
            </w:r>
          </w:p>
        </w:tc>
        <w:tc>
          <w:tcPr>
            <w:tcW w:type="dxa" w:w="851"/>
            <w:shd w:fill="F9FAFC"/>
            <w:tcMar>
              <w:top w:w="50" w:type="dxa"/>
              <w:bottom w:w="50" w:type="dxa"/>
              <w:left w:w="60" w:type="dxa"/>
              <w:right w:w="60" w:type="dxa"/>
            </w:tcMar>
          </w:tcPr>
          <w:p>
            <w:pPr>
              <w:spacing w:after="40" w:before="40"/>
            </w:pPr>
            <w:r>
              <w:rPr>
                <w:sz w:val="17"/>
              </w:rPr>
              <w:t>1.91</w:t>
            </w:r>
          </w:p>
        </w:tc>
        <w:tc>
          <w:tcPr>
            <w:tcW w:type="dxa" w:w="851"/>
            <w:shd w:fill="F9FAFC"/>
            <w:tcMar>
              <w:top w:w="50" w:type="dxa"/>
              <w:bottom w:w="50" w:type="dxa"/>
              <w:left w:w="60" w:type="dxa"/>
              <w:right w:w="60" w:type="dxa"/>
            </w:tcMar>
          </w:tcPr>
          <w:p>
            <w:pPr>
              <w:spacing w:after="40" w:before="40"/>
            </w:pPr>
            <w:r>
              <w:rPr>
                <w:sz w:val="17"/>
              </w:rPr>
              <w:t>0</w:t>
            </w:r>
          </w:p>
        </w:tc>
        <w:tc>
          <w:tcPr>
            <w:tcW w:type="dxa" w:w="851"/>
            <w:shd w:fill="F9FAFC"/>
            <w:tcMar>
              <w:top w:w="50" w:type="dxa"/>
              <w:bottom w:w="50" w:type="dxa"/>
              <w:left w:w="60" w:type="dxa"/>
              <w:right w:w="60" w:type="dxa"/>
            </w:tcMar>
          </w:tcPr>
          <w:p>
            <w:pPr>
              <w:spacing w:after="40" w:before="40"/>
            </w:pPr>
            <w:r>
              <w:rPr>
                <w:sz w:val="17"/>
              </w:rPr>
              <w:t>1.00</w:t>
            </w:r>
          </w:p>
        </w:tc>
        <w:tc>
          <w:tcPr>
            <w:tcW w:type="dxa" w:w="851"/>
            <w:shd w:fill="F9FAFC"/>
            <w:tcMar>
              <w:top w:w="50" w:type="dxa"/>
              <w:bottom w:w="50" w:type="dxa"/>
              <w:left w:w="60" w:type="dxa"/>
              <w:right w:w="60" w:type="dxa"/>
            </w:tcMar>
          </w:tcPr>
          <w:p>
            <w:pPr>
              <w:spacing w:after="40" w:before="40"/>
            </w:pPr>
            <w:r>
              <w:rPr>
                <w:sz w:val="17"/>
              </w:rPr>
              <w:t>3.00</w:t>
            </w:r>
          </w:p>
        </w:tc>
        <w:tc>
          <w:tcPr>
            <w:tcW w:type="dxa" w:w="851"/>
            <w:shd w:fill="F9FAFC"/>
            <w:tcMar>
              <w:top w:w="50" w:type="dxa"/>
              <w:bottom w:w="50" w:type="dxa"/>
              <w:left w:w="60" w:type="dxa"/>
              <w:right w:w="60" w:type="dxa"/>
            </w:tcMar>
          </w:tcPr>
          <w:p>
            <w:pPr>
              <w:spacing w:after="40" w:before="40"/>
            </w:pPr>
            <w:r>
              <w:rPr>
                <w:sz w:val="17"/>
              </w:rPr>
              <w:t>2.00</w:t>
            </w:r>
          </w:p>
        </w:tc>
        <w:tc>
          <w:tcPr>
            <w:tcW w:type="dxa" w:w="851"/>
            <w:shd w:fill="F9FAFC"/>
            <w:tcMar>
              <w:top w:w="50" w:type="dxa"/>
              <w:bottom w:w="50" w:type="dxa"/>
              <w:left w:w="60" w:type="dxa"/>
              <w:right w:w="60" w:type="dxa"/>
            </w:tcMar>
          </w:tcPr>
          <w:p>
            <w:pPr>
              <w:spacing w:after="40" w:before="40"/>
            </w:pPr>
            <w:r>
              <w:rPr>
                <w:sz w:val="17"/>
              </w:rPr>
              <w:t>50</w:t>
            </w:r>
          </w:p>
        </w:tc>
        <w:tc>
          <w:tcPr>
            <w:tcW w:type="dxa" w:w="851"/>
            <w:shd w:fill="F9FAFC"/>
            <w:tcMar>
              <w:top w:w="50" w:type="dxa"/>
              <w:bottom w:w="50" w:type="dxa"/>
              <w:left w:w="60" w:type="dxa"/>
              <w:right w:w="60" w:type="dxa"/>
            </w:tcMar>
          </w:tcPr>
          <w:p>
            <w:pPr>
              <w:spacing w:after="40" w:before="40"/>
            </w:pPr>
            <w:r>
              <w:rPr>
                <w:sz w:val="17"/>
              </w:rPr>
              <w:t>+2.86</w:t>
            </w:r>
          </w:p>
        </w:tc>
      </w:tr>
      <w:tr>
        <w:tc>
          <w:tcPr>
            <w:tcW w:type="dxa" w:w="851"/>
            <w:shd w:fill="FFFFFF"/>
            <w:tcMar>
              <w:top w:w="50" w:type="dxa"/>
              <w:bottom w:w="50" w:type="dxa"/>
              <w:left w:w="60" w:type="dxa"/>
              <w:right w:w="60" w:type="dxa"/>
            </w:tcMar>
          </w:tcPr>
          <w:p>
            <w:pPr>
              <w:spacing w:after="40" w:before="40"/>
            </w:pPr>
            <w:r>
              <w:rPr>
                <w:b/>
                <w:sz w:val="17"/>
              </w:rPr>
              <w:t>stays_in_weekend_nights</w:t>
            </w:r>
          </w:p>
        </w:tc>
        <w:tc>
          <w:tcPr>
            <w:tcW w:type="dxa" w:w="851"/>
            <w:shd w:fill="FFFFFF"/>
            <w:tcMar>
              <w:top w:w="50" w:type="dxa"/>
              <w:bottom w:w="50" w:type="dxa"/>
              <w:left w:w="60" w:type="dxa"/>
              <w:right w:w="60" w:type="dxa"/>
            </w:tcMar>
          </w:tcPr>
          <w:p>
            <w:pPr>
              <w:spacing w:after="40" w:before="40"/>
            </w:pPr>
            <w:r>
              <w:rPr>
                <w:sz w:val="17"/>
              </w:rPr>
              <w:t>0.93</w:t>
            </w:r>
          </w:p>
        </w:tc>
        <w:tc>
          <w:tcPr>
            <w:tcW w:type="dxa" w:w="851"/>
            <w:shd w:fill="FFFFFF"/>
            <w:tcMar>
              <w:top w:w="50" w:type="dxa"/>
              <w:bottom w:w="50" w:type="dxa"/>
              <w:left w:w="60" w:type="dxa"/>
              <w:right w:w="60" w:type="dxa"/>
            </w:tcMar>
          </w:tcPr>
          <w:p>
            <w:pPr>
              <w:spacing w:after="40" w:before="40"/>
            </w:pPr>
            <w:r>
              <w:rPr>
                <w:sz w:val="17"/>
              </w:rPr>
              <w:t>1.00</w:t>
            </w:r>
          </w:p>
        </w:tc>
        <w:tc>
          <w:tcPr>
            <w:tcW w:type="dxa" w:w="851"/>
            <w:shd w:fill="FFFFFF"/>
            <w:tcMar>
              <w:top w:w="50" w:type="dxa"/>
              <w:bottom w:w="50" w:type="dxa"/>
              <w:left w:w="60" w:type="dxa"/>
              <w:right w:w="60" w:type="dxa"/>
            </w:tcMar>
          </w:tcPr>
          <w:p>
            <w:pPr>
              <w:spacing w:after="40" w:before="40"/>
            </w:pPr>
            <w:r>
              <w:rPr>
                <w:sz w:val="17"/>
              </w:rPr>
              <w:t>0</w:t>
            </w:r>
          </w:p>
        </w:tc>
        <w:tc>
          <w:tcPr>
            <w:tcW w:type="dxa" w:w="851"/>
            <w:shd w:fill="FFFFFF"/>
            <w:tcMar>
              <w:top w:w="50" w:type="dxa"/>
              <w:bottom w:w="50" w:type="dxa"/>
              <w:left w:w="60" w:type="dxa"/>
              <w:right w:w="60" w:type="dxa"/>
            </w:tcMar>
          </w:tcPr>
          <w:p>
            <w:pPr>
              <w:spacing w:after="40" w:before="40"/>
            </w:pPr>
            <w:r>
              <w:rPr>
                <w:sz w:val="17"/>
              </w:rPr>
              <w:t>1.00</w:t>
            </w:r>
          </w:p>
        </w:tc>
        <w:tc>
          <w:tcPr>
            <w:tcW w:type="dxa" w:w="851"/>
            <w:shd w:fill="FFFFFF"/>
            <w:tcMar>
              <w:top w:w="50" w:type="dxa"/>
              <w:bottom w:w="50" w:type="dxa"/>
              <w:left w:w="60" w:type="dxa"/>
              <w:right w:w="60" w:type="dxa"/>
            </w:tcMar>
          </w:tcPr>
          <w:p>
            <w:pPr>
              <w:spacing w:after="40" w:before="40"/>
            </w:pPr>
            <w:r>
              <w:rPr>
                <w:sz w:val="17"/>
              </w:rPr>
              <w:t>0</w:t>
            </w:r>
          </w:p>
        </w:tc>
        <w:tc>
          <w:tcPr>
            <w:tcW w:type="dxa" w:w="851"/>
            <w:shd w:fill="FFFFFF"/>
            <w:tcMar>
              <w:top w:w="50" w:type="dxa"/>
              <w:bottom w:w="50" w:type="dxa"/>
              <w:left w:w="60" w:type="dxa"/>
              <w:right w:w="60" w:type="dxa"/>
            </w:tcMar>
          </w:tcPr>
          <w:p>
            <w:pPr>
              <w:spacing w:after="40" w:before="40"/>
            </w:pPr>
            <w:r>
              <w:rPr>
                <w:sz w:val="17"/>
              </w:rPr>
              <w:t>0.00</w:t>
            </w:r>
          </w:p>
        </w:tc>
        <w:tc>
          <w:tcPr>
            <w:tcW w:type="dxa" w:w="851"/>
            <w:shd w:fill="FFFFFF"/>
            <w:tcMar>
              <w:top w:w="50" w:type="dxa"/>
              <w:bottom w:w="50" w:type="dxa"/>
              <w:left w:w="60" w:type="dxa"/>
              <w:right w:w="60" w:type="dxa"/>
            </w:tcMar>
          </w:tcPr>
          <w:p>
            <w:pPr>
              <w:spacing w:after="40" w:before="40"/>
            </w:pPr>
            <w:r>
              <w:rPr>
                <w:sz w:val="17"/>
              </w:rPr>
              <w:t>2.00</w:t>
            </w:r>
          </w:p>
        </w:tc>
        <w:tc>
          <w:tcPr>
            <w:tcW w:type="dxa" w:w="851"/>
            <w:shd w:fill="FFFFFF"/>
            <w:tcMar>
              <w:top w:w="50" w:type="dxa"/>
              <w:bottom w:w="50" w:type="dxa"/>
              <w:left w:w="60" w:type="dxa"/>
              <w:right w:w="60" w:type="dxa"/>
            </w:tcMar>
          </w:tcPr>
          <w:p>
            <w:pPr>
              <w:spacing w:after="40" w:before="40"/>
            </w:pPr>
            <w:r>
              <w:rPr>
                <w:sz w:val="17"/>
              </w:rPr>
              <w:t>2.00</w:t>
            </w:r>
          </w:p>
        </w:tc>
        <w:tc>
          <w:tcPr>
            <w:tcW w:type="dxa" w:w="851"/>
            <w:shd w:fill="FFFFFF"/>
            <w:tcMar>
              <w:top w:w="50" w:type="dxa"/>
              <w:bottom w:w="50" w:type="dxa"/>
              <w:left w:w="60" w:type="dxa"/>
              <w:right w:w="60" w:type="dxa"/>
            </w:tcMar>
          </w:tcPr>
          <w:p>
            <w:pPr>
              <w:spacing w:after="40" w:before="40"/>
            </w:pPr>
            <w:r>
              <w:rPr>
                <w:sz w:val="17"/>
              </w:rPr>
              <w:t>19</w:t>
            </w:r>
          </w:p>
        </w:tc>
        <w:tc>
          <w:tcPr>
            <w:tcW w:type="dxa" w:w="851"/>
            <w:shd w:fill="FFFFFF"/>
            <w:tcMar>
              <w:top w:w="50" w:type="dxa"/>
              <w:bottom w:w="50" w:type="dxa"/>
              <w:left w:w="60" w:type="dxa"/>
              <w:right w:w="60" w:type="dxa"/>
            </w:tcMar>
          </w:tcPr>
          <w:p>
            <w:pPr>
              <w:spacing w:after="40" w:before="40"/>
            </w:pPr>
            <w:r>
              <w:rPr>
                <w:sz w:val="17"/>
              </w:rPr>
              <w:t>+1.38</w:t>
            </w:r>
          </w:p>
        </w:tc>
      </w:tr>
      <w:tr>
        <w:tc>
          <w:tcPr>
            <w:tcW w:type="dxa" w:w="851"/>
            <w:shd w:fill="F9FAFC"/>
            <w:tcMar>
              <w:top w:w="50" w:type="dxa"/>
              <w:bottom w:w="50" w:type="dxa"/>
              <w:left w:w="60" w:type="dxa"/>
              <w:right w:w="60" w:type="dxa"/>
            </w:tcMar>
          </w:tcPr>
          <w:p>
            <w:pPr>
              <w:spacing w:after="40" w:before="40"/>
            </w:pPr>
            <w:r>
              <w:rPr>
                <w:b/>
                <w:sz w:val="17"/>
              </w:rPr>
              <w:t>special_requests</w:t>
            </w:r>
          </w:p>
        </w:tc>
        <w:tc>
          <w:tcPr>
            <w:tcW w:type="dxa" w:w="851"/>
            <w:shd w:fill="F9FAFC"/>
            <w:tcMar>
              <w:top w:w="50" w:type="dxa"/>
              <w:bottom w:w="50" w:type="dxa"/>
              <w:left w:w="60" w:type="dxa"/>
              <w:right w:w="60" w:type="dxa"/>
            </w:tcMar>
          </w:tcPr>
          <w:p>
            <w:pPr>
              <w:spacing w:after="40" w:before="40"/>
            </w:pPr>
            <w:r>
              <w:rPr>
                <w:sz w:val="17"/>
              </w:rPr>
              <w:t>0.57</w:t>
            </w:r>
          </w:p>
        </w:tc>
        <w:tc>
          <w:tcPr>
            <w:tcW w:type="dxa" w:w="851"/>
            <w:shd w:fill="F9FAFC"/>
            <w:tcMar>
              <w:top w:w="50" w:type="dxa"/>
              <w:bottom w:w="50" w:type="dxa"/>
              <w:left w:w="60" w:type="dxa"/>
              <w:right w:w="60" w:type="dxa"/>
            </w:tcMar>
          </w:tcPr>
          <w:p>
            <w:pPr>
              <w:spacing w:after="40" w:before="40"/>
            </w:pPr>
            <w:r>
              <w:rPr>
                <w:sz w:val="17"/>
              </w:rPr>
              <w:t>0.00</w:t>
            </w:r>
          </w:p>
        </w:tc>
        <w:tc>
          <w:tcPr>
            <w:tcW w:type="dxa" w:w="851"/>
            <w:shd w:fill="F9FAFC"/>
            <w:tcMar>
              <w:top w:w="50" w:type="dxa"/>
              <w:bottom w:w="50" w:type="dxa"/>
              <w:left w:w="60" w:type="dxa"/>
              <w:right w:w="60" w:type="dxa"/>
            </w:tcMar>
          </w:tcPr>
          <w:p>
            <w:pPr>
              <w:spacing w:after="40" w:before="40"/>
            </w:pPr>
            <w:r>
              <w:rPr>
                <w:sz w:val="17"/>
              </w:rPr>
              <w:t>0</w:t>
            </w:r>
          </w:p>
        </w:tc>
        <w:tc>
          <w:tcPr>
            <w:tcW w:type="dxa" w:w="851"/>
            <w:shd w:fill="F9FAFC"/>
            <w:tcMar>
              <w:top w:w="50" w:type="dxa"/>
              <w:bottom w:w="50" w:type="dxa"/>
              <w:left w:w="60" w:type="dxa"/>
              <w:right w:w="60" w:type="dxa"/>
            </w:tcMar>
          </w:tcPr>
          <w:p>
            <w:pPr>
              <w:spacing w:after="40" w:before="40"/>
            </w:pPr>
            <w:r>
              <w:rPr>
                <w:sz w:val="17"/>
              </w:rPr>
              <w:t>0.79</w:t>
            </w:r>
          </w:p>
        </w:tc>
        <w:tc>
          <w:tcPr>
            <w:tcW w:type="dxa" w:w="851"/>
            <w:shd w:fill="F9FAFC"/>
            <w:tcMar>
              <w:top w:w="50" w:type="dxa"/>
              <w:bottom w:w="50" w:type="dxa"/>
              <w:left w:w="60" w:type="dxa"/>
              <w:right w:w="60" w:type="dxa"/>
            </w:tcMar>
          </w:tcPr>
          <w:p>
            <w:pPr>
              <w:spacing w:after="40" w:before="40"/>
            </w:pPr>
            <w:r>
              <w:rPr>
                <w:sz w:val="17"/>
              </w:rPr>
              <w:t>0</w:t>
            </w:r>
          </w:p>
        </w:tc>
        <w:tc>
          <w:tcPr>
            <w:tcW w:type="dxa" w:w="851"/>
            <w:shd w:fill="F9FAFC"/>
            <w:tcMar>
              <w:top w:w="50" w:type="dxa"/>
              <w:bottom w:w="50" w:type="dxa"/>
              <w:left w:w="60" w:type="dxa"/>
              <w:right w:w="60" w:type="dxa"/>
            </w:tcMar>
          </w:tcPr>
          <w:p>
            <w:pPr>
              <w:spacing w:after="40" w:before="40"/>
            </w:pPr>
            <w:r>
              <w:rPr>
                <w:sz w:val="17"/>
              </w:rPr>
              <w:t>0.00</w:t>
            </w:r>
          </w:p>
        </w:tc>
        <w:tc>
          <w:tcPr>
            <w:tcW w:type="dxa" w:w="851"/>
            <w:shd w:fill="F9FAFC"/>
            <w:tcMar>
              <w:top w:w="50" w:type="dxa"/>
              <w:bottom w:w="50" w:type="dxa"/>
              <w:left w:w="60" w:type="dxa"/>
              <w:right w:w="60" w:type="dxa"/>
            </w:tcMar>
          </w:tcPr>
          <w:p>
            <w:pPr>
              <w:spacing w:after="40" w:before="40"/>
            </w:pPr>
            <w:r>
              <w:rPr>
                <w:sz w:val="17"/>
              </w:rPr>
              <w:t>1.00</w:t>
            </w:r>
          </w:p>
        </w:tc>
        <w:tc>
          <w:tcPr>
            <w:tcW w:type="dxa" w:w="851"/>
            <w:shd w:fill="F9FAFC"/>
            <w:tcMar>
              <w:top w:w="50" w:type="dxa"/>
              <w:bottom w:w="50" w:type="dxa"/>
              <w:left w:w="60" w:type="dxa"/>
              <w:right w:w="60" w:type="dxa"/>
            </w:tcMar>
          </w:tcPr>
          <w:p>
            <w:pPr>
              <w:spacing w:after="40" w:before="40"/>
            </w:pPr>
            <w:r>
              <w:rPr>
                <w:sz w:val="17"/>
              </w:rPr>
              <w:t>1.00</w:t>
            </w:r>
          </w:p>
        </w:tc>
        <w:tc>
          <w:tcPr>
            <w:tcW w:type="dxa" w:w="851"/>
            <w:shd w:fill="F9FAFC"/>
            <w:tcMar>
              <w:top w:w="50" w:type="dxa"/>
              <w:bottom w:w="50" w:type="dxa"/>
              <w:left w:w="60" w:type="dxa"/>
              <w:right w:w="60" w:type="dxa"/>
            </w:tcMar>
          </w:tcPr>
          <w:p>
            <w:pPr>
              <w:spacing w:after="40" w:before="40"/>
            </w:pPr>
            <w:r>
              <w:rPr>
                <w:sz w:val="17"/>
              </w:rPr>
              <w:t>5</w:t>
            </w:r>
          </w:p>
        </w:tc>
        <w:tc>
          <w:tcPr>
            <w:tcW w:type="dxa" w:w="851"/>
            <w:shd w:fill="F9FAFC"/>
            <w:tcMar>
              <w:top w:w="50" w:type="dxa"/>
              <w:bottom w:w="50" w:type="dxa"/>
              <w:left w:w="60" w:type="dxa"/>
              <w:right w:w="60" w:type="dxa"/>
            </w:tcMar>
          </w:tcPr>
          <w:p>
            <w:pPr>
              <w:spacing w:after="40" w:before="40"/>
            </w:pPr>
            <w:r>
              <w:rPr>
                <w:sz w:val="17"/>
              </w:rPr>
              <w:t>+1.35</w:t>
            </w:r>
          </w:p>
        </w:tc>
      </w:tr>
    </w:tbl>
    <w:p>
      <w:pPr>
        <w:spacing w:after="120"/>
      </w:pPr>
    </w:p>
    <w:p>
      <w:r>
        <w:rPr>
          <w:i/>
        </w:rPr>
        <w:t>R Code snippet for Descriptive Statistics: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CCCCCC"/>
              <w:left w:val="single" w:sz="18" w:space="0" w:color="16A085"/>
              <w:bottom w:val="single" w:sz="4" w:space="0" w:color="CCCCCC"/>
              <w:right w:val="single" w:sz="4" w:space="0" w:color="CCCCCC"/>
            </w:tcBorders>
          </w:tcPr>
          <w:p>
            <w:pPr>
              <w:spacing w:before="40" w:after="40"/>
            </w:pPr>
            <w:r>
              <w:rPr>
                <w:rFonts w:ascii="Consolas" w:hAnsi="Consolas"/>
                <w:color w:val="2C3E50"/>
                <w:sz w:val="19"/>
              </w:rPr>
              <w:t># Task 3: Compute Descriptive Statistics</w:t>
              <w:br/>
              <w:t>library(e1071)</w:t>
              <w:br/>
              <w:br/>
              <w:t>calc_stats &lt;- function(x) {</w:t>
              <w:br/>
              <w:t xml:space="preserve">  c(Mean = mean(x, na.rm=TRUE), Median = median(x, na.rm=TRUE), SD = sd(x, na.rm=TRUE),</w:t>
              <w:br/>
              <w:t xml:space="preserve">    Min = min(x, na.rm=TRUE), Q1 = quantile(x, 0.25, na.rm=TRUE), Q3 = quantile(x, 0.75, na.rm=TRUE),</w:t>
              <w:br/>
              <w:t xml:space="preserve">    IQR = IQR(x, na.rm=TRUE), Max = max(x, na.rm=TRUE), Skewness = skewness(x, na.rm=TRUE))</w:t>
              <w:br/>
              <w:t>}</w:t>
              <w:br/>
              <w:br/>
              <w:t>stats_summary &lt;- sapply(df_hotel %&gt;% select(lead_time, adr, stays_in_week_nights, stays_in_weekend_nights, total_of_special_requests), calc_stats)</w:t>
              <w:br/>
              <w:t>print(round(t(stats_summary), 2))</w:t>
            </w:r>
          </w:p>
        </w:tc>
      </w:tr>
    </w:tbl>
    <w:p>
      <w:pPr>
        <w:spacing w:after="120"/>
      </w:pPr>
    </w:p>
    <w:p>
      <w:pPr>
        <w:pStyle w:val="Heading1"/>
      </w:pPr>
      <w:r>
        <w:t>Task 4: Univariate Analysis</w:t>
      </w:r>
    </w:p>
    <w:p>
      <w:r>
        <w:t>Univariate visualizations were created using ggplot2 to examine the individual distributions of key numerical and categorical features. Figure 1 displays the ADR distribution ($0-$500 range), showing a right-skewed pattern centered near $95. Figure 2 illustrates booking volumes across hotel types, showing City Hotels account for 66.4% (79,330 bookings) compared to 33.6% (40,060 bookings) for Resort Hotels.</w:t>
      </w:r>
    </w:p>
    <w:p>
      <w:pPr>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univariate_adr_hist.png"/>
                    <pic:cNvPicPr/>
                  </pic:nvPicPr>
                  <pic:blipFill>
                    <a:blip r:embed="rId9"/>
                    <a:stretch>
                      <a:fillRect/>
                    </a:stretch>
                  </pic:blipFill>
                  <pic:spPr>
                    <a:xfrm>
                      <a:off x="0" y="0"/>
                      <a:ext cx="5029200" cy="3233057"/>
                    </a:xfrm>
                    <a:prstGeom prst="rect"/>
                  </pic:spPr>
                </pic:pic>
              </a:graphicData>
            </a:graphic>
          </wp:inline>
        </w:drawing>
      </w:r>
    </w:p>
    <w:p>
      <w:pPr>
        <w:spacing w:after="200"/>
        <w:jc w:val="center"/>
      </w:pPr>
      <w:r>
        <w:rPr>
          <w:i/>
          <w:sz w:val="18"/>
        </w:rPr>
        <w:t>Figure 1: Task 4 - Histogram &amp; Density Plot of Average Daily Rate (ADR $)</w:t>
      </w:r>
    </w:p>
    <w:p>
      <w:pPr>
        <w:jc w:val="center"/>
      </w:pPr>
      <w:r>
        <w:drawing>
          <wp:inline xmlns:a="http://schemas.openxmlformats.org/drawingml/2006/main" xmlns:pic="http://schemas.openxmlformats.org/drawingml/2006/picture">
            <wp:extent cx="5029200" cy="3481754"/>
            <wp:docPr id="2" name="Picture 2"/>
            <wp:cNvGraphicFramePr>
              <a:graphicFrameLocks noChangeAspect="1"/>
            </wp:cNvGraphicFramePr>
            <a:graphic>
              <a:graphicData uri="http://schemas.openxmlformats.org/drawingml/2006/picture">
                <pic:pic>
                  <pic:nvPicPr>
                    <pic:cNvPr id="0" name="univariate_hotel_bar.png"/>
                    <pic:cNvPicPr/>
                  </pic:nvPicPr>
                  <pic:blipFill>
                    <a:blip r:embed="rId10"/>
                    <a:stretch>
                      <a:fillRect/>
                    </a:stretch>
                  </pic:blipFill>
                  <pic:spPr>
                    <a:xfrm>
                      <a:off x="0" y="0"/>
                      <a:ext cx="5029200" cy="3481754"/>
                    </a:xfrm>
                    <a:prstGeom prst="rect"/>
                  </pic:spPr>
                </pic:pic>
              </a:graphicData>
            </a:graphic>
          </wp:inline>
        </w:drawing>
      </w:r>
    </w:p>
    <w:p>
      <w:pPr>
        <w:spacing w:after="200"/>
        <w:jc w:val="center"/>
      </w:pPr>
      <w:r>
        <w:rPr>
          <w:i/>
          <w:sz w:val="18"/>
        </w:rPr>
        <w:t>Figure 2: Task 4 - Booking Counts by Hotel Type</w:t>
      </w:r>
    </w:p>
    <w:p>
      <w:r>
        <w:rPr>
          <w:i/>
        </w:rPr>
        <w:t>R Code snippet for Univariate Analysis: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CCCCCC"/>
              <w:left w:val="single" w:sz="18" w:space="0" w:color="16A085"/>
              <w:bottom w:val="single" w:sz="4" w:space="0" w:color="CCCCCC"/>
              <w:right w:val="single" w:sz="4" w:space="0" w:color="CCCCCC"/>
            </w:tcBorders>
          </w:tcPr>
          <w:p>
            <w:pPr>
              <w:spacing w:before="40" w:after="40"/>
            </w:pPr>
            <w:r>
              <w:rPr>
                <w:rFonts w:ascii="Consolas" w:hAnsi="Consolas"/>
                <w:color w:val="2C3E50"/>
                <w:sz w:val="19"/>
              </w:rPr>
              <w:t># Task 4: Univariate Visualizations</w:t>
              <w:br/>
              <w:t># 1. Histogram of ADR</w:t>
              <w:br/>
              <w:t>ggplot(df_hotel %&gt;% filter(adr &gt; 0 &amp; adr &lt; 500), aes(x = adr)) +</w:t>
              <w:br/>
              <w:t xml:space="preserve">  geom_histogram(aes(y = after_stat(density)), bins = 40, fill = "#2980b9", color = "white") +</w:t>
              <w:br/>
              <w:t xml:space="preserve">  geom_density(color = "#1b365d", linewidth = 1) +</w:t>
              <w:br/>
              <w:t xml:space="preserve">  labs(title = "Distribution of ADR ($)", x = "ADR ($)", y = "Density") +</w:t>
              <w:br/>
              <w:t xml:space="preserve">  theme_minimal()</w:t>
              <w:br/>
              <w:br/>
              <w:t># 2. Hotel Bar Chart</w:t>
              <w:br/>
              <w:t>ggplot(df_hotel %&gt;% count(hotel), aes(x = hotel, y = n, fill = hotel)) +</w:t>
              <w:br/>
              <w:t xml:space="preserve">  geom_bar(stat = "identity", width = 0.6) +</w:t>
              <w:br/>
              <w:t xml:space="preserve">  labs(title = "Booking Frequencies by Hotel Type", x = "Hotel Type", y = "Count") +</w:t>
              <w:br/>
              <w:t xml:space="preserve">  theme_minimal()</w:t>
            </w:r>
          </w:p>
        </w:tc>
      </w:tr>
    </w:tbl>
    <w:p>
      <w:pPr>
        <w:spacing w:after="120"/>
      </w:pPr>
    </w:p>
    <w:p>
      <w:pPr>
        <w:pStyle w:val="Heading1"/>
      </w:pPr>
      <w:r>
        <w:t>Task 5: Bivariate Analysis</w:t>
      </w:r>
    </w:p>
    <w:p>
      <w:r>
        <w:t>Bivariate analysis examined the relationships between booking characteristics and cancellation outcomes. Figure 3 shows that City Hotels experience a much higher cancellation rate (41.7%) than Resort Hotels (27.8%). Figure 4 reveals that canceled bookings display significantly higher lead times (Median = 113 days) than confirmed bookings (Median = 45 days).</w:t>
      </w:r>
    </w:p>
    <w:p>
      <w:pPr>
        <w:jc w:val="center"/>
      </w:pPr>
      <w:r>
        <w:drawing>
          <wp:inline xmlns:a="http://schemas.openxmlformats.org/drawingml/2006/main" xmlns:pic="http://schemas.openxmlformats.org/drawingml/2006/picture">
            <wp:extent cx="5029200" cy="3448594"/>
            <wp:docPr id="3" name="Picture 3"/>
            <wp:cNvGraphicFramePr>
              <a:graphicFrameLocks noChangeAspect="1"/>
            </wp:cNvGraphicFramePr>
            <a:graphic>
              <a:graphicData uri="http://schemas.openxmlformats.org/drawingml/2006/picture">
                <pic:pic>
                  <pic:nvPicPr>
                    <pic:cNvPr id="0" name="bivariate_cancellation_hotel.png"/>
                    <pic:cNvPicPr/>
                  </pic:nvPicPr>
                  <pic:blipFill>
                    <a:blip r:embed="rId11"/>
                    <a:stretch>
                      <a:fillRect/>
                    </a:stretch>
                  </pic:blipFill>
                  <pic:spPr>
                    <a:xfrm>
                      <a:off x="0" y="0"/>
                      <a:ext cx="5029200" cy="3448594"/>
                    </a:xfrm>
                    <a:prstGeom prst="rect"/>
                  </pic:spPr>
                </pic:pic>
              </a:graphicData>
            </a:graphic>
          </wp:inline>
        </w:drawing>
      </w:r>
    </w:p>
    <w:p>
      <w:pPr>
        <w:spacing w:after="200"/>
        <w:jc w:val="center"/>
      </w:pPr>
      <w:r>
        <w:rPr>
          <w:i/>
          <w:sz w:val="18"/>
        </w:rPr>
        <w:t>Figure 3: Task 5 - Cancellation Rate Comparison by Hotel Type</w:t>
      </w:r>
    </w:p>
    <w:p>
      <w:pPr>
        <w:jc w:val="center"/>
      </w:pPr>
      <w:r>
        <w:drawing>
          <wp:inline xmlns:a="http://schemas.openxmlformats.org/drawingml/2006/main" xmlns:pic="http://schemas.openxmlformats.org/drawingml/2006/picture">
            <wp:extent cx="5029200" cy="3448594"/>
            <wp:docPr id="4" name="Picture 4"/>
            <wp:cNvGraphicFramePr>
              <a:graphicFrameLocks noChangeAspect="1"/>
            </wp:cNvGraphicFramePr>
            <a:graphic>
              <a:graphicData uri="http://schemas.openxmlformats.org/drawingml/2006/picture">
                <pic:pic>
                  <pic:nvPicPr>
                    <pic:cNvPr id="0" name="bivariate_lead_cancellation.png"/>
                    <pic:cNvPicPr/>
                  </pic:nvPicPr>
                  <pic:blipFill>
                    <a:blip r:embed="rId12"/>
                    <a:stretch>
                      <a:fillRect/>
                    </a:stretch>
                  </pic:blipFill>
                  <pic:spPr>
                    <a:xfrm>
                      <a:off x="0" y="0"/>
                      <a:ext cx="5029200" cy="3448594"/>
                    </a:xfrm>
                    <a:prstGeom prst="rect"/>
                  </pic:spPr>
                </pic:pic>
              </a:graphicData>
            </a:graphic>
          </wp:inline>
        </w:drawing>
      </w:r>
    </w:p>
    <w:p>
      <w:pPr>
        <w:spacing w:after="200"/>
        <w:jc w:val="center"/>
      </w:pPr>
      <w:r>
        <w:rPr>
          <w:i/>
          <w:sz w:val="18"/>
        </w:rPr>
        <w:t>Figure 4: Task 5 - Lead Time Distribution by Cancellation Status</w:t>
      </w:r>
    </w:p>
    <w:p>
      <w:r>
        <w:rPr>
          <w:i/>
        </w:rPr>
        <w:t>R Code snippet for Bivariate Analysis: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CCCCCC"/>
              <w:left w:val="single" w:sz="18" w:space="0" w:color="16A085"/>
              <w:bottom w:val="single" w:sz="4" w:space="0" w:color="CCCCCC"/>
              <w:right w:val="single" w:sz="4" w:space="0" w:color="CCCCCC"/>
            </w:tcBorders>
          </w:tcPr>
          <w:p>
            <w:pPr>
              <w:spacing w:before="40" w:after="40"/>
            </w:pPr>
            <w:r>
              <w:rPr>
                <w:rFonts w:ascii="Consolas" w:hAnsi="Consolas"/>
                <w:color w:val="2C3E50"/>
                <w:sz w:val="19"/>
              </w:rPr>
              <w:t># Task 5: Bivariate Visualizations</w:t>
              <w:br/>
              <w:t># Lead time boxplot by cancellation status</w:t>
              <w:br/>
              <w:t>ggplot(df_hotel, aes(x = factor(is_canceled), y = lead_time, fill = factor(is_canceled))) +</w:t>
              <w:br/>
              <w:t xml:space="preserve">  geom_boxplot(alpha = 0.8) +</w:t>
              <w:br/>
              <w:t xml:space="preserve">  labs(title = "Lead Time by Cancellation Status", x = "Is Canceled", y = "Lead Time (Days)") +</w:t>
              <w:br/>
              <w:t xml:space="preserve">  theme_minimal()</w:t>
            </w:r>
          </w:p>
        </w:tc>
      </w:tr>
    </w:tbl>
    <w:p>
      <w:pPr>
        <w:spacing w:after="120"/>
      </w:pPr>
    </w:p>
    <w:p>
      <w:pPr>
        <w:pStyle w:val="Heading1"/>
      </w:pPr>
      <w:r>
        <w:t>Task 6: Correlation Analysis</w:t>
      </w:r>
    </w:p>
    <w:p>
      <w:r>
        <w:t>A correlation matrix and correlation heatmap were generated using corrplot in R. Key correlation results include a positive correlation between lead time and cancellation indicator (r = +0.29), and a negative correlation between special requests and cancellations (r = -0.23).</w:t>
      </w:r>
    </w:p>
    <w:p>
      <w:pPr>
        <w:jc w:val="center"/>
      </w:pPr>
      <w:r>
        <w:drawing>
          <wp:inline xmlns:a="http://schemas.openxmlformats.org/drawingml/2006/main" xmlns:pic="http://schemas.openxmlformats.org/drawingml/2006/picture">
            <wp:extent cx="4572000" cy="381000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4572000" cy="3810000"/>
                    </a:xfrm>
                    <a:prstGeom prst="rect"/>
                  </pic:spPr>
                </pic:pic>
              </a:graphicData>
            </a:graphic>
          </wp:inline>
        </w:drawing>
      </w:r>
    </w:p>
    <w:p>
      <w:pPr>
        <w:spacing w:after="200"/>
        <w:jc w:val="center"/>
      </w:pPr>
      <w:r>
        <w:rPr>
          <w:i/>
          <w:sz w:val="18"/>
        </w:rPr>
        <w:t>Figure 5: Task 6 - Correlation Heatmap of Hotel Booking Attributes</w:t>
      </w:r>
    </w:p>
    <w:p>
      <w:r>
        <w:rPr>
          <w:i/>
        </w:rPr>
        <w:t>R Code snippet for Correlation Analysis: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CCCCCC"/>
              <w:left w:val="single" w:sz="18" w:space="0" w:color="16A085"/>
              <w:bottom w:val="single" w:sz="4" w:space="0" w:color="CCCCCC"/>
              <w:right w:val="single" w:sz="4" w:space="0" w:color="CCCCCC"/>
            </w:tcBorders>
          </w:tcPr>
          <w:p>
            <w:pPr>
              <w:spacing w:before="40" w:after="40"/>
            </w:pPr>
            <w:r>
              <w:rPr>
                <w:rFonts w:ascii="Consolas" w:hAnsi="Consolas"/>
                <w:color w:val="2C3E50"/>
                <w:sz w:val="19"/>
              </w:rPr>
              <w:t># Task 6: Correlation Heatmap</w:t>
              <w:br/>
              <w:t>library(corrplot)</w:t>
              <w:br/>
              <w:t>num_cols &lt;- df_hotel %&gt;% select(lead_time, is_canceled, stays_in_weekend_nights, stays_in_week_nights, adults, children, adr, previous_cancellations, total_of_special_requests)</w:t>
              <w:br/>
              <w:t>cor_mat &lt;- cor(num_cols, use = "complete.obs")</w:t>
              <w:br/>
              <w:t>corrplot(cor_mat, method = "color", type = "upper", addCoef.col = "black")</w:t>
            </w:r>
          </w:p>
        </w:tc>
      </w:tr>
    </w:tbl>
    <w:p>
      <w:pPr>
        <w:spacing w:after="120"/>
      </w:pPr>
    </w:p>
    <w:p>
      <w:pPr>
        <w:pStyle w:val="Heading1"/>
      </w:pPr>
      <w:r>
        <w:t>Task 7: Hypothesis Testing</w:t>
      </w:r>
    </w:p>
    <w:p>
      <w:r>
        <w:t>Two formal statistical hypothesis tests were conducted: a One-Way ANOVA (ADR by Hotel Type) and a Pearson Chi-Square Test of Independence (Cancellation Status by Hotel Type).</w:t>
      </w:r>
    </w:p>
    <w:p>
      <w:r>
        <w:rPr>
          <w:b/>
        </w:rPr>
        <w:t>Hypothesis Test Formalizations:</w:t>
      </w:r>
    </w:p>
    <w:p>
      <w:pPr>
        <w:spacing w:after="160"/>
      </w:pPr>
      <w:r>
        <w:t>1. One-Way ANOVA (ADR by Hotel Type):</w:t>
        <w:br/>
        <w:t xml:space="preserve">   • H₀: μ_City = μ_Resort (Mean ADR is equal across hotel types).</w:t>
        <w:br/>
        <w:t xml:space="preserve">   • H₁: Mean ADR differs significantly between City and Resort Hotels.</w:t>
        <w:br/>
        <w:t xml:space="preserve">   • Result: F(1, 119388) = 1127, p &lt; 2.2 × 10⁻¹⁶ &lt; 0.001. Reject H₀.</w:t>
        <w:br/>
        <w:br/>
        <w:t>2. Chi-Square Test (Cancellation Rate by Hotel Type):</w:t>
        <w:br/>
        <w:t xml:space="preserve">   • H₀: Booking cancellation is independent of hotel type.</w:t>
        <w:br/>
        <w:t xml:space="preserve">   • H₁: Booking cancellation is significantly associated with hotel type.</w:t>
        <w:br/>
        <w:t xml:space="preserve">   • Result: χ² = 2224.9, df = 1, p &lt; 2.2 × 10⁻¹⁶ &lt; 0.001. Reject H₀.</w:t>
      </w:r>
    </w:p>
    <w:p>
      <w:r>
        <w:rPr>
          <w:i/>
        </w:rPr>
        <w:t>R Code snippet for Hypothesis Testing:</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CCCCCC"/>
              <w:left w:val="single" w:sz="18" w:space="0" w:color="16A085"/>
              <w:bottom w:val="single" w:sz="4" w:space="0" w:color="CCCCCC"/>
              <w:right w:val="single" w:sz="4" w:space="0" w:color="CCCCCC"/>
            </w:tcBorders>
          </w:tcPr>
          <w:p>
            <w:pPr>
              <w:spacing w:before="40" w:after="40"/>
            </w:pPr>
            <w:r>
              <w:rPr>
                <w:rFonts w:ascii="Consolas" w:hAnsi="Consolas"/>
                <w:color w:val="2C3E50"/>
                <w:sz w:val="19"/>
              </w:rPr>
              <w:t># Task 7: Hypothesis Testing (ANOVA &amp; Chi-Square)</w:t>
              <w:br/>
              <w:t># Test 1: ANOVA - ADR by Hotel Type</w:t>
              <w:br/>
              <w:t>anova_adr &lt;- aov(adr ~ hotel, data = df_hotel)</w:t>
              <w:br/>
              <w:t>summary(anova_adr)</w:t>
              <w:br/>
              <w:br/>
              <w:t># Test 2: Chi-Square - Cancellation by Hotel Type</w:t>
              <w:br/>
              <w:t>chi_tbl &lt;- table(df_hotel$hotel, df_hotel$is_canceled)</w:t>
              <w:br/>
              <w:t>chisq.test(chi_tbl)</w:t>
            </w:r>
          </w:p>
        </w:tc>
      </w:tr>
    </w:tbl>
    <w:p>
      <w:pPr>
        <w:spacing w:after="120"/>
      </w:pPr>
    </w:p>
    <w:p>
      <w:pPr>
        <w:pStyle w:val="Heading1"/>
      </w:pPr>
      <w:r>
        <w:t>Task 8: Interactive Visualizations</w:t>
      </w:r>
    </w:p>
    <w:p>
      <w:r>
        <w:t>Three interactive HTML widgets were exported using plotly and DT in R:</w:t>
        <w:br/>
        <w:t>1. Interactive Scatter Plot (plots/interactive_scatter.html): Hoverable lead time vs ADR scatter plot.</w:t>
        <w:br/>
        <w:t>2. Interactive Top Guest Countries Bar Chart (plots/interactive_top_countries.html): Top origin countries (Portugal, Great Britain, France, Spain).</w:t>
        <w:br/>
        <w:t>3. Interactive DT Datatable (plots/interactive_table.html): Searchable, filterable datatable of booking records.</w:t>
      </w:r>
    </w:p>
    <w:p>
      <w:r>
        <w:rPr>
          <w:i/>
        </w:rPr>
        <w:t>R Code snippet for Interactive Visualizations: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CCCCCC"/>
              <w:left w:val="single" w:sz="18" w:space="0" w:color="16A085"/>
              <w:bottom w:val="single" w:sz="4" w:space="0" w:color="CCCCCC"/>
              <w:right w:val="single" w:sz="4" w:space="0" w:color="CCCCCC"/>
            </w:tcBorders>
          </w:tcPr>
          <w:p>
            <w:pPr>
              <w:spacing w:before="40" w:after="40"/>
            </w:pPr>
            <w:r>
              <w:rPr>
                <w:rFonts w:ascii="Consolas" w:hAnsi="Consolas"/>
                <w:color w:val="2C3E50"/>
                <w:sz w:val="19"/>
              </w:rPr>
              <w:t># Task 8: Interactive Widgets using Plotly &amp; DT</w:t>
              <w:br/>
              <w:t>library(plotly)</w:t>
              <w:br/>
              <w:t>library(DT)</w:t>
              <w:br/>
              <w:t>library(htmlwidgets)</w:t>
              <w:br/>
              <w:br/>
              <w:t># Interactive Scatter Plot</w:t>
              <w:br/>
              <w:t>p_int &lt;- plot_ly(df_hotel %&gt;% sample_n(1000), x = ~lead_time, y = ~adr, color = ~hotel,</w:t>
              <w:br/>
              <w:t xml:space="preserve">                 text = ~paste("Hotel:", hotel, "&lt;br&gt;Segment:", market_segment),</w:t>
              <w:br/>
              <w:t xml:space="preserve">                 type = 'scatter', mode = 'markers') %&gt;%</w:t>
              <w:br/>
              <w:t xml:space="preserve">  layout(title = "Interactive Lead Time vs ADR")</w:t>
              <w:br/>
              <w:br/>
              <w:t>saveWidget(p_int, "plots/interactive_scatter.html", selfcontained = FALSE)</w:t>
            </w:r>
          </w:p>
        </w:tc>
      </w:tr>
    </w:tbl>
    <w:p>
      <w:pPr>
        <w:spacing w:after="120"/>
      </w:pPr>
    </w:p>
    <w:p>
      <w:pPr>
        <w:pStyle w:val="Heading1"/>
      </w:pPr>
      <w:r>
        <w:t>Task 9: Storytelling with Data</w:t>
      </w:r>
    </w:p>
    <w:p>
      <w:pPr>
        <w:spacing w:after="240"/>
      </w:pPr>
      <w:r>
        <w:t>Revenue Optimization and Cancellation Dynamics in Hotel Operations: A Data Story</w:t>
        <w:br/>
        <w:br/>
        <w:t>The hospitality industry operates in a dynamic market environment where forecasting booking cancellations and optimizing Average Daily Rate (ADR) directly govern profitability. Analysis of 119,390 booking records across Resort and City hotels uncovers key behavioral patterns and operational risks.</w:t>
        <w:br/>
        <w:br/>
        <w:t>Overall, the dataset reveals a high overall cancellation rate of 37.04% (44,224 canceled bookings). However, bivariate segmentation demonstrates a striking divergence between hotel types: City Hotels suffer a severe 41.7% cancellation rate, whereas Resort Hotels maintain a much lower 27.8% cancellation rate. Statistical hypothesis testing using Pearson's Chi-Square test (χ² = 2224.9, p &lt; 0.001) confirms that cancellation likelihood is heavily tied to hotel property type.</w:t>
        <w:br/>
        <w:br/>
        <w:t>A major driver of cancellations uncovered in our correlation and boxplot analysis is booking lead time. Canceled bookings exhibit a median lead time of 113 days, compared to just 45 days for confirmed stays. When guests book far in advance without financial commitments (e.g. 'No Deposit' policy accounts for 88.7% of bookings), the probability of cancellation increases substantially. Furthermore, One-Way ANOVA testing (F = 1127, p &lt; 0.001) shows that City Hotels command a significantly higher mean ADR ($105.30) than Resort Hotels ($94.95).</w:t>
        <w:br/>
        <w:br/>
        <w:t>Actionable Recommendations:</w:t>
        <w:br/>
        <w:t>1. Overhaul Non-Refundable Deposit Policies: Implement non-refundable deposit requirements for bookings made with lead times exceeding 90 days, particularly for City Hotels.</w:t>
        <w:br/>
        <w:t>2. Dynamic Pricing for Long Lead Times: Offer modest early-bird discounts coupled with strict cancellation penalties to lock in early demand while mitigating late cancellations.</w:t>
        <w:br/>
        <w:t>3. Target High-Value Market Segments: Focus marketing channels toward Direct and Corporate segments, which exhibit lower cancellation rates and higher net revenue stability compared to Third-Party Online Travel Agencies (OTAs).</w:t>
      </w:r>
    </w:p>
    <w:p>
      <w:pPr>
        <w:pStyle w:val="Heading1"/>
      </w:pPr>
      <w:r>
        <w:t>Task 10: Present Analytical Insights (Slide Presentation Outline)</w:t>
      </w:r>
    </w:p>
    <w:p>
      <w:r>
        <w:t>An 8-slide presentation deck was designed to summarize the analytical insights. The interactive HTML presentation slide deck is available in hotel_presentation.html.</w:t>
      </w:r>
    </w:p>
    <w:p>
      <w:pPr>
        <w:spacing w:after="80"/>
      </w:pPr>
      <w:r>
        <w:rPr>
          <w:b/>
          <w:color w:val="16A085"/>
        </w:rPr>
        <w:t xml:space="preserve">Slide 1: Title &amp; Executive Summary: </w:t>
      </w:r>
      <w:r>
        <w:t>Overview of hotel booking demand EDA project, objectives, and main takeaways.</w:t>
      </w:r>
    </w:p>
    <w:p>
      <w:pPr>
        <w:spacing w:after="80"/>
      </w:pPr>
      <w:r>
        <w:rPr>
          <w:b/>
          <w:color w:val="16A085"/>
        </w:rPr>
        <w:t xml:space="preserve">Slide 2: Dataset Architecture &amp; Preprocessing: </w:t>
      </w:r>
      <w:r>
        <w:t>Introduction of 119,390 bookings, 32 variables, handling missing values, and factor encoding.</w:t>
      </w:r>
    </w:p>
    <w:p>
      <w:pPr>
        <w:spacing w:after="80"/>
      </w:pPr>
      <w:r>
        <w:rPr>
          <w:b/>
          <w:color w:val="16A085"/>
        </w:rPr>
        <w:t xml:space="preserve">Slide 3: Descriptive Statistics &amp; Pricing Distribution: </w:t>
      </w:r>
      <w:r>
        <w:t>Summary table comparing Lead Time (Mean = 104d) and ADR (Mean = $101.83).</w:t>
      </w:r>
    </w:p>
    <w:p>
      <w:pPr>
        <w:spacing w:after="80"/>
      </w:pPr>
      <w:r>
        <w:rPr>
          <w:b/>
          <w:color w:val="16A085"/>
        </w:rPr>
        <w:t xml:space="preserve">Slide 4: Univariate Insights &amp; Property Volumes: </w:t>
      </w:r>
      <w:r>
        <w:t>Visual breakdown of City Hotel (79.3K bookings) vs Resort Hotel (40.0K bookings).</w:t>
      </w:r>
    </w:p>
    <w:p>
      <w:pPr>
        <w:spacing w:after="80"/>
      </w:pPr>
      <w:r>
        <w:rPr>
          <w:b/>
          <w:color w:val="16A085"/>
        </w:rPr>
        <w:t xml:space="preserve">Slide 5: Bivariate Analysis (Cancellation Divergence): </w:t>
      </w:r>
      <w:r>
        <w:t>Bar chart illustrating City Hotel 41.7% cancellation rate vs Resort 27.8%.</w:t>
      </w:r>
    </w:p>
    <w:p>
      <w:pPr>
        <w:spacing w:after="80"/>
      </w:pPr>
      <w:r>
        <w:rPr>
          <w:b/>
          <w:color w:val="16A085"/>
        </w:rPr>
        <w:t xml:space="preserve">Slide 6: Lead Time &amp; Cancellation Risk: </w:t>
      </w:r>
      <w:r>
        <w:t>Boxplot proving that long lead times (Median = 113 days) drive cancellation probability.</w:t>
      </w:r>
    </w:p>
    <w:p>
      <w:pPr>
        <w:spacing w:after="80"/>
      </w:pPr>
      <w:r>
        <w:rPr>
          <w:b/>
          <w:color w:val="16A085"/>
        </w:rPr>
        <w:t xml:space="preserve">Slide 7: Statistical Hypothesis Testing (ANOVA &amp; Chi-Square): </w:t>
      </w:r>
      <w:r>
        <w:t>Validation (χ² = 2224.9, p &lt; 0.001; F = 1127, p &lt; 0.001) confirming operational differences.</w:t>
      </w:r>
    </w:p>
    <w:p>
      <w:pPr>
        <w:spacing w:after="80"/>
      </w:pPr>
      <w:r>
        <w:rPr>
          <w:b/>
          <w:color w:val="16A085"/>
        </w:rPr>
        <w:t xml:space="preserve">Slide 8: Strategic Revenue Recommendations &amp; Conclusion: </w:t>
      </w:r>
      <w:r>
        <w:t>Actionable advice for deposit policies, early-bird pricing, and channel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A08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