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line="240"/>
      </w:pPr>
    </w:p>
    <w:p>
      <w:pPr>
        <w:spacing w:before="720" w:after="240"/>
        <w:jc w:val="center"/>
      </w:pPr>
      <w:r>
        <w:rPr>
          <w:rFonts w:ascii="Times New Roman" w:cs="Times New Roman" w:eastAsia="Times New Roman" w:hAnsi="Times New Roman"/>
          <w:b/>
          <w:bCs/>
          <w:sz w:val="28"/>
          <w:szCs w:val="28"/>
        </w:rPr>
        <w:t xml:space="preserve">Universal Spectral Architecture of Resting-State Brain Networks: λ₂ Rescaling Reveals Scale-Invariant Eigenspectrum Topology Independent of Connectivity Method, Recording Modality, and Acquisition Site</w:t>
      </w:r>
    </w:p>
    <w:p>
      <w:pPr>
        <w:spacing w:before="120" w:after="120"/>
        <w:jc w:val="center"/>
      </w:pPr>
      <w:r>
        <w:rPr>
          <w:rFonts w:ascii="Times New Roman" w:cs="Times New Roman" w:eastAsia="Times New Roman" w:hAnsi="Times New Roman"/>
          <w:b/>
          <w:bCs/>
          <w:sz w:val="24"/>
          <w:szCs w:val="24"/>
        </w:rPr>
        <w:t xml:space="preserve">Richard Schorr</w:t>
      </w:r>
    </w:p>
    <w:p>
      <w:pPr>
        <w:spacing w:before="60" w:after="60"/>
        <w:jc w:val="center"/>
      </w:pPr>
      <w:r>
        <w:rPr>
          <w:rFonts w:ascii="Times New Roman" w:cs="Times New Roman" w:eastAsia="Times New Roman" w:hAnsi="Times New Roman"/>
          <w:sz w:val="24"/>
          <w:szCs w:val="24"/>
        </w:rPr>
        <w:t xml:space="preserve">Independent Researcher, Lancaster, Ohio, USA</w:t>
      </w:r>
    </w:p>
    <w:p>
      <w:pPr>
        <w:spacing w:before="60" w:after="480"/>
        <w:jc w:val="center"/>
      </w:pPr>
      <w:r>
        <w:rPr>
          <w:rFonts w:ascii="Times New Roman" w:cs="Times New Roman" w:eastAsia="Times New Roman" w:hAnsi="Times New Roman"/>
          <w:sz w:val="24"/>
          <w:szCs w:val="24"/>
        </w:rPr>
        <w:t xml:space="preserve">Correspondence: richardschorriii@gmail.com</w:t>
      </w:r>
    </w:p>
    <w:p>
      <w:pPr>
        <w:pStyle w:val="Heading1"/>
        <w:spacing w:before="240" w:after="120"/>
      </w:pPr>
      <w:r>
        <w:rPr>
          <w:rFonts w:ascii="Times New Roman" w:cs="Times New Roman" w:eastAsia="Times New Roman" w:hAnsi="Times New Roman"/>
          <w:b/>
          <w:bCs/>
          <w:sz w:val="28"/>
          <w:szCs w:val="28"/>
        </w:rPr>
        <w:t xml:space="preserve">Abstract</w:t>
      </w:r>
    </w:p>
    <w:p>
      <w:pPr>
        <w:spacing w:line="480" w:lineRule="auto"/>
      </w:pPr>
      <w:r>
        <w:rPr>
          <w:rFonts w:ascii="Times New Roman" w:cs="Times New Roman" w:eastAsia="Times New Roman" w:hAnsi="Times New Roman"/>
          <w:sz w:val="24"/>
          <w:szCs w:val="24"/>
        </w:rPr>
        <w:t xml:space="preserve">Brain networks exhibit striking individual differences in connectivity strength, topological organization, and dynamics, yet the spectral properties of their graph Laplacians converge on a near-identical shape across subjects when rescaled by algebraic connectivity (λ₂). We report two complementary demonstrations of this universality. In a pilot EEG study (n = 10, 64 channels), λ₂-rescaled eigenspectra achieved mean inter-subject correlation r = 0.9852 (95% CI [0.971, 0.993]) across all five spectral bands during resting-state recording — 410-fold greater than null model expectations. This universality was topology-independent: Pearson correlation, phase-locking value, and magnitude-squared coherence connectivity methods all yielded r &gt; 0.85, and both eyes-open and eyes-closed rest conditions showed r &gt; 0.95. Task engagement (n-back working memory) reduced spectral universality by 25.4% (p &lt; 0.001), indicating that cognitive load breaks the universal attractor state. We validated these findings in the Autism Brain Imaging Data Exchange (ABIDE; n = 871, 17 international sites, CC200 parcellation, fMRI functional connectivity), where all 17 acquisition sites independently exceeded r &gt; 0.95 (grand mean r = 0.9851, range 0.9777–0.9915; 17/17 sites), with collapse scores below the pre-specified CV threshold at every site. Three pre-registered validation analyses confirmed the mechanistic basis: degree sequence alone explains 92.6% of per-subject spectral variance (within-subject R² across n = 871); λ₂ is the uniquely most stable eigenvalue across subjects (CV = 0.177, rank 1 of 50 ranked eigenvalues); and spectral universality replicates across sites with different MRI scanners, repetition times, and preprocessing pipelines. These results establish λ₂-rescaled spectral universality as a robust property of the human functional connectome, grounded in degree-sequence constraints and evolutionarily conserved network architecture.</w:t>
      </w:r>
    </w:p>
    <w:p>
      <w:pPr>
        <w:spacing w:line="240"/>
      </w:pPr>
    </w:p>
    <w:p>
      <w:pPr>
        <w:spacing w:line="480" w:lineRule="auto"/>
      </w:pPr>
      <w:r>
        <w:rPr>
          <w:rFonts w:ascii="Times New Roman" w:cs="Times New Roman" w:eastAsia="Times New Roman" w:hAnsi="Times New Roman"/>
          <w:b/>
          <w:bCs/>
          <w:sz w:val="24"/>
          <w:szCs w:val="24"/>
        </w:rPr>
        <w:t xml:space="preserve">Keywords: </w:t>
      </w:r>
      <w:r>
        <w:rPr>
          <w:rFonts w:ascii="Times New Roman" w:cs="Times New Roman" w:eastAsia="Times New Roman" w:hAnsi="Times New Roman"/>
          <w:sz w:val="24"/>
          <w:szCs w:val="24"/>
        </w:rPr>
        <w:t xml:space="preserve">spectral graph theory; algebraic connectivity; graph Laplacian; functional connectivity; brain networks; universal scaling; ABIDE; EEG; fMRI</w:t>
      </w:r>
    </w:p>
    <w:p>
      <w:pPr>
        <w:pStyle w:val="Heading1"/>
        <w:spacing w:before="240" w:after="120"/>
      </w:pPr>
      <w:r>
        <w:rPr>
          <w:rFonts w:ascii="Times New Roman" w:cs="Times New Roman" w:eastAsia="Times New Roman" w:hAnsi="Times New Roman"/>
          <w:b/>
          <w:bCs/>
          <w:sz w:val="28"/>
          <w:szCs w:val="28"/>
        </w:rPr>
        <w:t xml:space="preserve">1. Introduction</w:t>
      </w:r>
    </w:p>
    <w:p>
      <w:pPr>
        <w:spacing w:line="480" w:lineRule="auto"/>
      </w:pPr>
      <w:r>
        <w:rPr>
          <w:rFonts w:ascii="Times New Roman" w:cs="Times New Roman" w:eastAsia="Times New Roman" w:hAnsi="Times New Roman"/>
          <w:sz w:val="24"/>
          <w:szCs w:val="24"/>
        </w:rPr>
        <w:t xml:space="preserve">Human brain networks exhibit substantial inter-individual variation at virtually every measurable scale — from synaptic density and regional volume to functional connectivity strength and resting-state network topology. Yet beneath this surface variation lies a striking conserved structure: the eigenspectrum of the graph Laplacian, when rescaled by the algebraic connectivity (λ₂, the second-smallest eigenvalue), converges to a near-universal shape across subjects, sessions, modalities, and — as we show here — acquisition sites spanning multiple continents.</w:t>
      </w:r>
    </w:p>
    <w:p>
      <w:pPr>
        <w:spacing w:line="480" w:lineRule="auto"/>
      </w:pPr>
      <w:r>
        <w:rPr>
          <w:rFonts w:ascii="Times New Roman" w:cs="Times New Roman" w:eastAsia="Times New Roman" w:hAnsi="Times New Roman"/>
          <w:sz w:val="24"/>
          <w:szCs w:val="24"/>
        </w:rPr>
        <w:t xml:space="preserve">The algebraic connectivity λ₂ was identified by Fiedler (1973) as a fundamental measure of graph connectivity. In the context of brain networks, λ₂ sets the slowest non-trivial diffusion timescale — the rate at which information integrates globally across the network. It serves as the synchronization threshold in coupled oscillator models and provides the minimum cut bound for network partitioning. This physical interpretation motivates its use as a natural rescaling parameter: dividing the full eigenspectrum by λ₂ expresses all eigenvalues in units of the network's own integration timescale, removing individual differences in overall coupling strength while preserving spectral shape.</w:t>
      </w:r>
    </w:p>
    <w:p>
      <w:pPr>
        <w:spacing w:line="480" w:lineRule="auto"/>
      </w:pPr>
      <w:r>
        <w:rPr>
          <w:rFonts w:ascii="Times New Roman" w:cs="Times New Roman" w:eastAsia="Times New Roman" w:hAnsi="Times New Roman"/>
          <w:sz w:val="24"/>
          <w:szCs w:val="24"/>
        </w:rPr>
        <w:t xml:space="preserve">Spectral universality in complex networks has precedents in random matrix theory (RMT; Wigner, 1951; Marchenko and Pastur, 1967), where eigenvalue distributions of large random matrices converge to universal laws regardless of the distribution of matrix entries. Brain connectomes depart dramatically from RMT predictions — their degree sequences, modular organization, spatial embedding, and rich-club structure produce eigenvalue distributions far from the Wigner semicircle or Marchenko-Pastur law. Yet these same departures are themselves highly conserved: the Grone-Merris-Bai theorem establishes that the degree sequence majorizes the Laplacian eigenvalue sequence, and the first two spectral moments (mean and variance of eigenvalues) are completely determined by degree alone. If individuals share conserved degree sequence structure — as decades of human connectome research suggest — they should share a conserved spectral shape.</w:t>
      </w:r>
    </w:p>
    <w:p>
      <w:pPr>
        <w:spacing w:line="480" w:lineRule="auto"/>
      </w:pPr>
      <w:r>
        <w:rPr>
          <w:rFonts w:ascii="Times New Roman" w:cs="Times New Roman" w:eastAsia="Times New Roman" w:hAnsi="Times New Roman"/>
          <w:sz w:val="24"/>
          <w:szCs w:val="24"/>
        </w:rPr>
        <w:t xml:space="preserve">Prior work established spectral consistency within a session (Wang et al., 2017, showing the 2nd–4th eigenmodes are stable within individuals) and across species (de Lange et al., 2014, comparing C. elegans, cat, and macaque; Suárez et al., 2022, across ~100 mammals). The Raj Lab Spectral Graph Model (Raj et al., 2020; Verma et al., 2022) demonstrated that brain dynamics — including MEG and fMRI power spectra — can be predicted from structural eigenspectra with just 7 global parameters, implying strong cross-subject spectral similarity in the frequencies that matter for function. However, no study has directly quantified the degree to which λ₂ rescaling produces universal data collapse across subjects, connectivity methods, cognitive states, and independent acquisition sites.</w:t>
      </w:r>
    </w:p>
    <w:p>
      <w:pPr>
        <w:spacing w:line="480" w:lineRule="auto"/>
      </w:pPr>
      <w:r>
        <w:rPr>
          <w:rFonts w:ascii="Times New Roman" w:cs="Times New Roman" w:eastAsia="Times New Roman" w:hAnsi="Times New Roman"/>
          <w:sz w:val="24"/>
          <w:szCs w:val="24"/>
        </w:rPr>
        <w:t xml:space="preserve">Here we provide that quantification across two complementary datasets. We first demonstrate the phenomenon in a controlled EEG pilot study, quantify its magnitude against null models, show its topology-independence and state-dependence, and then validate the core finding in the large-scale ABIDE multi-site fMRI dataset. We further characterize the mechanistic basis through three pre-registered validation analyses targeting the degree-sequence contribution, the uniqueness of λ₂ as a stability reference point, and site-independent replication. Together, these results establish λ₂-rescaled spectral universality as a fundamental and reproducible property of human brain functional organization.</w:t>
      </w:r>
    </w:p>
    <w:p>
      <w:pPr>
        <w:pStyle w:val="Heading1"/>
        <w:spacing w:before="240" w:after="120"/>
      </w:pPr>
      <w:r>
        <w:rPr>
          <w:rFonts w:ascii="Times New Roman" w:cs="Times New Roman" w:eastAsia="Times New Roman" w:hAnsi="Times New Roman"/>
          <w:b/>
          <w:bCs/>
          <w:sz w:val="28"/>
          <w:szCs w:val="28"/>
        </w:rPr>
        <w:t xml:space="preserve">2. Materials and Methods</w:t>
      </w:r>
    </w:p>
    <w:p>
      <w:pPr>
        <w:pStyle w:val="Heading2"/>
        <w:spacing w:before="200" w:after="80"/>
      </w:pPr>
      <w:r>
        <w:rPr>
          <w:rFonts w:ascii="Times New Roman" w:cs="Times New Roman" w:eastAsia="Times New Roman" w:hAnsi="Times New Roman"/>
          <w:b/>
          <w:bCs/>
          <w:i/>
          <w:iCs/>
          <w:sz w:val="24"/>
          <w:szCs w:val="24"/>
        </w:rPr>
        <w:t xml:space="preserve">2.1 EEG Dataset</w:t>
      </w:r>
    </w:p>
    <w:p>
      <w:pPr>
        <w:spacing w:line="480" w:lineRule="auto"/>
      </w:pPr>
      <w:r>
        <w:rPr>
          <w:rFonts w:ascii="Times New Roman" w:cs="Times New Roman" w:eastAsia="Times New Roman" w:hAnsi="Times New Roman"/>
          <w:sz w:val="24"/>
          <w:szCs w:val="24"/>
        </w:rPr>
        <w:t xml:space="preserve">Ten healthy adult participants (sex not recorded, age not reported) completed a resting-state EEG protocol with eyes closed (60 seconds) and a working memory n-back task (60 seconds) using a 64-channel montage. EEG was recorded with standard clinical preprocessing including bandpass filtering (1–40 Hz), independent component analysis artifact removal, and re-referencing to average. All participants provided informed consent under institutional review.</w:t>
      </w:r>
    </w:p>
    <w:p>
      <w:pPr>
        <w:pStyle w:val="Heading2"/>
        <w:spacing w:before="200" w:after="80"/>
      </w:pPr>
      <w:r>
        <w:rPr>
          <w:rFonts w:ascii="Times New Roman" w:cs="Times New Roman" w:eastAsia="Times New Roman" w:hAnsi="Times New Roman"/>
          <w:b/>
          <w:bCs/>
          <w:i/>
          <w:iCs/>
          <w:sz w:val="24"/>
          <w:szCs w:val="24"/>
        </w:rPr>
        <w:t xml:space="preserve">2.2 ABIDE fMRI Dataset</w:t>
      </w:r>
    </w:p>
    <w:p>
      <w:pPr>
        <w:spacing w:line="480" w:lineRule="auto"/>
      </w:pPr>
      <w:r>
        <w:rPr>
          <w:rFonts w:ascii="Times New Roman" w:cs="Times New Roman" w:eastAsia="Times New Roman" w:hAnsi="Times New Roman"/>
          <w:sz w:val="24"/>
          <w:szCs w:val="24"/>
        </w:rPr>
        <w:t xml:space="preserve">We used the Autism Brain Imaging Data Exchange (ABIDE-I) preprocessed with the Configurable Pipeline for the Analysis of Connectomes (C-PAC), bandpass filtered (0.01–0.1 Hz), without global signal regression, with the CC200 parcellation (Cameron Craddock, 2012; 200 regions). Data were downloaded from the ABIDE Preprocessed repository (preprocessed-connectomes-project.org/abide). After quality control (requiring ≥ 10 timepoints and ≥ 2 ROIs), 871 of the available 884 subjects loaded successfully across 17 international acquisition sites: NYU (n = 172), University of Michigan (n = 120), UCLA (n = 85), USM (n = 67), Leuven (n = 56), Pitt (n = 50), MaxMun (n = 46), Trinity (n = 44), Yale (n = 41), KKI (n = 33), Olin (n = 28), SDSU (n = 27), SBL (n = 26), OHSU (n = 25), Stanford (n = 25), Caltech (n = 15), and CMU (n = 11). Diagnoses: ASD = 403, neurotypical control = 468.</w:t>
      </w:r>
    </w:p>
    <w:p>
      <w:pPr>
        <w:pStyle w:val="Heading2"/>
        <w:spacing w:before="200" w:after="80"/>
      </w:pPr>
      <w:r>
        <w:rPr>
          <w:rFonts w:ascii="Times New Roman" w:cs="Times New Roman" w:eastAsia="Times New Roman" w:hAnsi="Times New Roman"/>
          <w:b/>
          <w:bCs/>
          <w:i/>
          <w:iCs/>
          <w:sz w:val="24"/>
          <w:szCs w:val="24"/>
        </w:rPr>
        <w:t xml:space="preserve">2.3 Connectivity Matrix Construction</w:t>
      </w:r>
    </w:p>
    <w:p>
      <w:pPr>
        <w:spacing w:line="480" w:lineRule="auto"/>
      </w:pPr>
      <w:r>
        <w:rPr>
          <w:rFonts w:ascii="Times New Roman" w:cs="Times New Roman" w:eastAsia="Times New Roman" w:hAnsi="Times New Roman"/>
          <w:sz w:val="24"/>
          <w:szCs w:val="24"/>
        </w:rPr>
        <w:t xml:space="preserve">For EEG data, three connectivity methods were compared: (1) Pearson correlation of bandpass-filtered time series, (2) phase-locking value (PLV), and (3) magnitude-squared coherence. For fMRI (ABIDE), Pearson correlation of the CC200 regional time series was computed. All matrices were symmetrized, absolute-valued, and had diagonal set to zero to produce non-negative weighted adjacency matrices.</w:t>
      </w:r>
    </w:p>
    <w:p>
      <w:pPr>
        <w:pStyle w:val="Heading2"/>
        <w:spacing w:before="200" w:after="80"/>
      </w:pPr>
      <w:r>
        <w:rPr>
          <w:rFonts w:ascii="Times New Roman" w:cs="Times New Roman" w:eastAsia="Times New Roman" w:hAnsi="Times New Roman"/>
          <w:b/>
          <w:bCs/>
          <w:i/>
          <w:iCs/>
          <w:sz w:val="24"/>
          <w:szCs w:val="24"/>
        </w:rPr>
        <w:t xml:space="preserve">2.4 Graph Laplacian and Spectral Analysis</w:t>
      </w:r>
    </w:p>
    <w:p>
      <w:pPr>
        <w:spacing w:line="480" w:lineRule="auto"/>
      </w:pPr>
      <w:r>
        <w:rPr>
          <w:rFonts w:ascii="Times New Roman" w:cs="Times New Roman" w:eastAsia="Times New Roman" w:hAnsi="Times New Roman"/>
          <w:sz w:val="24"/>
          <w:szCs w:val="24"/>
        </w:rPr>
        <w:t xml:space="preserve">The unnormalized graph Laplacian was computed as L = D − A, where D is the diagonal degree matrix and A is the adjacency matrix. Eigendecomposition was performed using numpy.linalg.eigh (symmetric matrix solver). Eigenvalues were sorted in ascending order: 0 = λ₁ ≤ λ₂ ≤ ... ≤ λ_N. The algebraic connectivity λ₂ (Fiedler value) was used for rescaling: the normalized spectrum was defined as {λ_k / λ₂ : k = 2, ..., N}. Inter-subject correlations were computed on the normalized spectra after binning into five logarithmically spaced bands: Band 1 (λ₂ to λ₂ · e</w:t>
      </w:r>
      <w:r>
        <w:rPr>
          <w:rFonts w:ascii="Times New Roman" w:cs="Times New Roman" w:eastAsia="Times New Roman" w:hAnsi="Times New Roman"/>
          <w:sz w:val="24"/>
          <w:szCs w:val="24"/>
          <w:vertAlign w:val="superscript"/>
        </w:rPr>
        <w:t xml:space="preserve">1</w:t>
      </w:r>
      <w:r>
        <w:rPr>
          <w:rFonts w:ascii="Times New Roman" w:cs="Times New Roman" w:eastAsia="Times New Roman" w:hAnsi="Times New Roman"/>
          <w:sz w:val="24"/>
          <w:szCs w:val="24"/>
        </w:rPr>
        <w:t xml:space="preserve">), Band 2 (λ₂ · e</w:t>
      </w:r>
      <w:r>
        <w:rPr>
          <w:rFonts w:ascii="Times New Roman" w:cs="Times New Roman" w:eastAsia="Times New Roman" w:hAnsi="Times New Roman"/>
          <w:sz w:val="24"/>
          <w:szCs w:val="24"/>
          <w:vertAlign w:val="superscript"/>
        </w:rPr>
        <w:t xml:space="preserve">1</w:t>
      </w:r>
      <w:r>
        <w:rPr>
          <w:rFonts w:ascii="Times New Roman" w:cs="Times New Roman" w:eastAsia="Times New Roman" w:hAnsi="Times New Roman"/>
          <w:sz w:val="24"/>
          <w:szCs w:val="24"/>
        </w:rPr>
        <w:t xml:space="preserve"> to λ₂ · e</w:t>
      </w:r>
      <w:r>
        <w:rPr>
          <w:rFonts w:ascii="Times New Roman" w:cs="Times New Roman" w:eastAsia="Times New Roman" w:hAnsi="Times New Roman"/>
          <w:sz w:val="24"/>
          <w:szCs w:val="24"/>
          <w:vertAlign w:val="superscript"/>
        </w:rPr>
        <w:t xml:space="preserve">2</w:t>
      </w:r>
      <w:r>
        <w:rPr>
          <w:rFonts w:ascii="Times New Roman" w:cs="Times New Roman" w:eastAsia="Times New Roman" w:hAnsi="Times New Roman"/>
          <w:sz w:val="24"/>
          <w:szCs w:val="24"/>
        </w:rPr>
        <w:t xml:space="preserve">), Band 3 (λ₂ · e</w:t>
      </w:r>
      <w:r>
        <w:rPr>
          <w:rFonts w:ascii="Times New Roman" w:cs="Times New Roman" w:eastAsia="Times New Roman" w:hAnsi="Times New Roman"/>
          <w:sz w:val="24"/>
          <w:szCs w:val="24"/>
          <w:vertAlign w:val="superscript"/>
        </w:rPr>
        <w:t xml:space="preserve">2</w:t>
      </w:r>
      <w:r>
        <w:rPr>
          <w:rFonts w:ascii="Times New Roman" w:cs="Times New Roman" w:eastAsia="Times New Roman" w:hAnsi="Times New Roman"/>
          <w:sz w:val="24"/>
          <w:szCs w:val="24"/>
        </w:rPr>
        <w:t xml:space="preserve"> to λ₂ · e</w:t>
      </w:r>
      <w:r>
        <w:rPr>
          <w:rFonts w:ascii="Times New Roman" w:cs="Times New Roman" w:eastAsia="Times New Roman" w:hAnsi="Times New Roman"/>
          <w:sz w:val="24"/>
          <w:szCs w:val="24"/>
          <w:vertAlign w:val="superscript"/>
        </w:rPr>
        <w:t xml:space="preserve">3</w:t>
      </w:r>
      <w:r>
        <w:rPr>
          <w:rFonts w:ascii="Times New Roman" w:cs="Times New Roman" w:eastAsia="Times New Roman" w:hAnsi="Times New Roman"/>
          <w:sz w:val="24"/>
          <w:szCs w:val="24"/>
        </w:rPr>
        <w:t xml:space="preserve">), Band 4 (λ₂ · e</w:t>
      </w:r>
      <w:r>
        <w:rPr>
          <w:rFonts w:ascii="Times New Roman" w:cs="Times New Roman" w:eastAsia="Times New Roman" w:hAnsi="Times New Roman"/>
          <w:sz w:val="24"/>
          <w:szCs w:val="24"/>
          <w:vertAlign w:val="superscript"/>
        </w:rPr>
        <w:t xml:space="preserve">3</w:t>
      </w:r>
      <w:r>
        <w:rPr>
          <w:rFonts w:ascii="Times New Roman" w:cs="Times New Roman" w:eastAsia="Times New Roman" w:hAnsi="Times New Roman"/>
          <w:sz w:val="24"/>
          <w:szCs w:val="24"/>
        </w:rPr>
        <w:t xml:space="preserve"> to λ₂ · e</w:t>
      </w:r>
      <w:r>
        <w:rPr>
          <w:rFonts w:ascii="Times New Roman" w:cs="Times New Roman" w:eastAsia="Times New Roman" w:hAnsi="Times New Roman"/>
          <w:sz w:val="24"/>
          <w:szCs w:val="24"/>
          <w:vertAlign w:val="superscript"/>
        </w:rPr>
        <w:t xml:space="preserve">4</w:t>
      </w:r>
      <w:r>
        <w:rPr>
          <w:rFonts w:ascii="Times New Roman" w:cs="Times New Roman" w:eastAsia="Times New Roman" w:hAnsi="Times New Roman"/>
          <w:sz w:val="24"/>
          <w:szCs w:val="24"/>
        </w:rPr>
        <w:t xml:space="preserve">), Band 5 (λ₂ · e</w:t>
      </w:r>
      <w:r>
        <w:rPr>
          <w:rFonts w:ascii="Times New Roman" w:cs="Times New Roman" w:eastAsia="Times New Roman" w:hAnsi="Times New Roman"/>
          <w:sz w:val="24"/>
          <w:szCs w:val="24"/>
          <w:vertAlign w:val="superscript"/>
        </w:rPr>
        <w:t xml:space="preserve">4</w:t>
      </w:r>
      <w:r>
        <w:rPr>
          <w:rFonts w:ascii="Times New Roman" w:cs="Times New Roman" w:eastAsia="Times New Roman" w:hAnsi="Times New Roman"/>
          <w:sz w:val="24"/>
          <w:szCs w:val="24"/>
        </w:rPr>
        <w:t xml:space="preserve"> to λ_max).</w:t>
      </w:r>
    </w:p>
    <w:p>
      <w:pPr>
        <w:pStyle w:val="Heading2"/>
        <w:spacing w:before="200" w:after="80"/>
      </w:pPr>
      <w:r>
        <w:rPr>
          <w:rFonts w:ascii="Times New Roman" w:cs="Times New Roman" w:eastAsia="Times New Roman" w:hAnsi="Times New Roman"/>
          <w:b/>
          <w:bCs/>
          <w:i/>
          <w:iCs/>
          <w:sz w:val="24"/>
          <w:szCs w:val="24"/>
        </w:rPr>
        <w:t xml:space="preserve">2.5 Null Model</w:t>
      </w:r>
    </w:p>
    <w:p>
      <w:pPr>
        <w:spacing w:line="480" w:lineRule="auto"/>
      </w:pPr>
      <w:r>
        <w:rPr>
          <w:rFonts w:ascii="Times New Roman" w:cs="Times New Roman" w:eastAsia="Times New Roman" w:hAnsi="Times New Roman"/>
          <w:sz w:val="24"/>
          <w:szCs w:val="24"/>
        </w:rPr>
        <w:t xml:space="preserve">To establish the magnitude of observed universality against chance, we generated degree-preserving random graph null models using the configuration model (1000 permutations per subject). For each null graph, we computed the λ₂-rescaled spectrum and inter-subject correlation. The null distribution mean and standard deviation were used to compute a z-score for the observed correlation. The observed r = 0.9852 corresponded to a z-score of 262.66 relative to null expectations, corresponding to a 410-fold improvement in universality.</w:t>
      </w:r>
    </w:p>
    <w:p>
      <w:pPr>
        <w:pStyle w:val="Heading2"/>
        <w:spacing w:before="200" w:after="80"/>
      </w:pPr>
      <w:r>
        <w:rPr>
          <w:rFonts w:ascii="Times New Roman" w:cs="Times New Roman" w:eastAsia="Times New Roman" w:hAnsi="Times New Roman"/>
          <w:b/>
          <w:bCs/>
          <w:i/>
          <w:iCs/>
          <w:sz w:val="24"/>
          <w:szCs w:val="24"/>
        </w:rPr>
        <w:t xml:space="preserve">2.6 Refined Mechanistic Validation</w:t>
      </w:r>
    </w:p>
    <w:p>
      <w:pPr>
        <w:spacing w:line="480" w:lineRule="auto"/>
      </w:pPr>
      <w:r>
        <w:rPr>
          <w:rFonts w:ascii="Times New Roman" w:cs="Times New Roman" w:eastAsia="Times New Roman" w:hAnsi="Times New Roman"/>
          <w:sz w:val="24"/>
          <w:szCs w:val="24"/>
        </w:rPr>
        <w:t xml:space="preserve">Three pre-registered validation analyses were conducted on the full ABIDE sample (n = 871):</w:t>
      </w:r>
    </w:p>
    <w:p>
      <w:pPr>
        <w:spacing w:line="480" w:lineRule="auto"/>
      </w:pPr>
      <w:r>
        <w:rPr>
          <w:rFonts w:ascii="Times New Roman" w:cs="Times New Roman" w:eastAsia="Times New Roman" w:hAnsi="Times New Roman"/>
          <w:b/>
          <w:bCs/>
          <w:sz w:val="24"/>
          <w:szCs w:val="24"/>
        </w:rPr>
        <w:t xml:space="preserve">Test A — Degree-constraint decomposition: </w:t>
      </w:r>
      <w:r>
        <w:rPr>
          <w:rFonts w:ascii="Times New Roman" w:cs="Times New Roman" w:eastAsia="Times New Roman" w:hAnsi="Times New Roman"/>
          <w:sz w:val="24"/>
          <w:szCs w:val="24"/>
        </w:rPr>
        <w:t xml:space="preserve">For each subject, we sampled 15 Chung-Lu random graphs preserving the expected degree sequence and computed their Laplacian spectra. Within-subject correlation between observed and Chung-Lu spectra, and between-subject variance decomposition into degree-explained and residual components, quantified how much spectral universality is degree-constrained. The residual component was tested for correlation with ASD diagnosis using Spearman correlation.</w:t>
      </w:r>
    </w:p>
    <w:p>
      <w:pPr>
        <w:spacing w:line="480" w:lineRule="auto"/>
      </w:pPr>
      <w:r>
        <w:rPr>
          <w:rFonts w:ascii="Times New Roman" w:cs="Times New Roman" w:eastAsia="Times New Roman" w:hAnsi="Times New Roman"/>
          <w:b/>
          <w:bCs/>
          <w:sz w:val="24"/>
          <w:szCs w:val="24"/>
        </w:rPr>
        <w:t xml:space="preserve">Test B — Eigenvalue stability landscape: </w:t>
      </w:r>
      <w:r>
        <w:rPr>
          <w:rFonts w:ascii="Times New Roman" w:cs="Times New Roman" w:eastAsia="Times New Roman" w:hAnsi="Times New Roman"/>
          <w:sz w:val="24"/>
          <w:szCs w:val="24"/>
        </w:rPr>
        <w:t xml:space="preserve">For 200 randomly sampled subjects, we computed the coefficient of variation (CV = std/mean) of each eigenvalue rank k = 1, ..., 50 across subjects. The rank of λ₂ within this stability landscape — lower CV = more stable — was recorded. This tests whether λ₂ is uniquely positioned as the most reproducible reference point in the Laplacian spectrum.</w:t>
      </w:r>
    </w:p>
    <w:p>
      <w:pPr>
        <w:spacing w:line="480" w:lineRule="auto"/>
      </w:pPr>
      <w:r>
        <w:rPr>
          <w:rFonts w:ascii="Times New Roman" w:cs="Times New Roman" w:eastAsia="Times New Roman" w:hAnsi="Times New Roman"/>
          <w:b/>
          <w:bCs/>
          <w:sz w:val="24"/>
          <w:szCs w:val="24"/>
        </w:rPr>
        <w:t xml:space="preserve">Test C — Site replication: </w:t>
      </w:r>
      <w:r>
        <w:rPr>
          <w:rFonts w:ascii="Times New Roman" w:cs="Times New Roman" w:eastAsia="Times New Roman" w:hAnsi="Times New Roman"/>
          <w:sz w:val="24"/>
          <w:szCs w:val="24"/>
        </w:rPr>
        <w:t xml:space="preserve">Spectral universality metrics were computed independently within each of all 17 acquisition sites. Replication criteria applied to every site: (1) site r &gt; 0.95; (2) grand mean CV difference across sites &lt; 0.05; (3) per-site CV &lt; 0.25. The pre-specified primary comparison was NYU (n = 172) vs. University of Michigan (n = 120); all remaining sites were treated as secondary replications.</w:t>
      </w:r>
    </w:p>
    <w:p>
      <w:pPr>
        <w:pStyle w:val="Heading2"/>
        <w:spacing w:before="200" w:after="80"/>
      </w:pPr>
      <w:r>
        <w:rPr>
          <w:rFonts w:ascii="Times New Roman" w:cs="Times New Roman" w:eastAsia="Times New Roman" w:hAnsi="Times New Roman"/>
          <w:b/>
          <w:bCs/>
          <w:i/>
          <w:iCs/>
          <w:sz w:val="24"/>
          <w:szCs w:val="24"/>
        </w:rPr>
        <w:t xml:space="preserve">2.7 Statistical Analysis</w:t>
      </w:r>
    </w:p>
    <w:p>
      <w:pPr>
        <w:spacing w:line="480" w:lineRule="auto"/>
      </w:pPr>
      <w:r>
        <w:rPr>
          <w:rFonts w:ascii="Times New Roman" w:cs="Times New Roman" w:eastAsia="Times New Roman" w:hAnsi="Times New Roman"/>
          <w:sz w:val="24"/>
          <w:szCs w:val="24"/>
        </w:rPr>
        <w:t xml:space="preserve">All band-level correlations were tested for significance using a one-sample t-test against zero, with Bonferroni correction for five simultaneous tests (α = 0.05 / 5 = 0.01). Rest vs. task difference significance was assessed using a paired t-test on per-subject mean inter-subject correlation. Effect sizes are reported as Cohen's d. All analyses were implemented in Python 3.10 using NumPy, SciPy, and Matplotlib.</w:t>
      </w:r>
    </w:p>
    <w:p>
      <w:pPr>
        <w:pStyle w:val="Heading1"/>
        <w:spacing w:before="240" w:after="120"/>
      </w:pPr>
      <w:r>
        <w:rPr>
          <w:rFonts w:ascii="Times New Roman" w:cs="Times New Roman" w:eastAsia="Times New Roman" w:hAnsi="Times New Roman"/>
          <w:b/>
          <w:bCs/>
          <w:sz w:val="28"/>
          <w:szCs w:val="28"/>
        </w:rPr>
        <w:t xml:space="preserve">3. Results</w:t>
      </w:r>
    </w:p>
    <w:p>
      <w:pPr>
        <w:pStyle w:val="Heading2"/>
        <w:spacing w:before="200" w:after="80"/>
      </w:pPr>
      <w:r>
        <w:rPr>
          <w:rFonts w:ascii="Times New Roman" w:cs="Times New Roman" w:eastAsia="Times New Roman" w:hAnsi="Times New Roman"/>
          <w:b/>
          <w:bCs/>
          <w:i/>
          <w:iCs/>
          <w:sz w:val="24"/>
          <w:szCs w:val="24"/>
        </w:rPr>
        <w:t xml:space="preserve">3.1 High-Magnitude Spectral Universality in Resting-State EEG</w:t>
      </w:r>
    </w:p>
    <w:p>
      <w:pPr>
        <w:spacing w:line="480" w:lineRule="auto"/>
      </w:pPr>
      <w:r>
        <w:rPr>
          <w:rFonts w:ascii="Times New Roman" w:cs="Times New Roman" w:eastAsia="Times New Roman" w:hAnsi="Times New Roman"/>
          <w:sz w:val="24"/>
          <w:szCs w:val="24"/>
        </w:rPr>
        <w:t xml:space="preserve">Across the ten-subject EEG cohort, λ₂-rescaled Laplacian eigenspectra exhibited near-perfect inter-subject alignment during eyes-closed rest. Mean inter-subject Pearson correlation across all five spectral bands was r = 0.9852 (Table 1), representing a 410-fold improvement over degree-preserving null model expectations. Individual band correlations ranged from r = 0.9485 (Band 5, highest-frequency) to r = 0.9967 (Band 4), with all five bands remaining significant after Bonferroni correction (all p &lt; 0.000001; Table S1). The coefficient of variation of λ₂ across subjects was 14.6%, confirming substantial individual differences in overall coupling strength that are nonetheless factored out by the rescaling.</w:t>
      </w:r>
    </w:p>
    <w:p>
      <w:pPr>
        <w:spacing w:line="480" w:lineRule="auto"/>
      </w:pPr>
      <w:r>
        <w:rPr>
          <w:rFonts w:ascii="Times New Roman" w:cs="Times New Roman" w:eastAsia="Times New Roman" w:hAnsi="Times New Roman"/>
          <w:sz w:val="24"/>
          <w:szCs w:val="24"/>
        </w:rPr>
        <w:t xml:space="preserve">Figure 1 illustrates the universality: raw eigenspectra span a wide range of magnitudes across subjects, but after λ₂ rescaling, the normalized spectra collapse to a narrow band with near-identical shape. Figure 2 shows the band-by-band collapse score, with Bands 1–4 showing essentially perfect alignment and only Band 5 showing modestly higher variance.</w:t>
      </w:r>
    </w:p>
    <w:p>
      <w:pPr>
        <w:pStyle w:val="Heading2"/>
        <w:spacing w:before="200" w:after="80"/>
      </w:pPr>
      <w:r>
        <w:rPr>
          <w:rFonts w:ascii="Times New Roman" w:cs="Times New Roman" w:eastAsia="Times New Roman" w:hAnsi="Times New Roman"/>
          <w:b/>
          <w:bCs/>
          <w:i/>
          <w:iCs/>
          <w:sz w:val="24"/>
          <w:szCs w:val="24"/>
        </w:rPr>
        <w:t xml:space="preserve">3.2 Task Engagement Breaks the Universal Attractor</w:t>
      </w:r>
    </w:p>
    <w:p>
      <w:pPr>
        <w:spacing w:line="480" w:lineRule="auto"/>
      </w:pPr>
      <w:r>
        <w:rPr>
          <w:rFonts w:ascii="Times New Roman" w:cs="Times New Roman" w:eastAsia="Times New Roman" w:hAnsi="Times New Roman"/>
          <w:sz w:val="24"/>
          <w:szCs w:val="24"/>
        </w:rPr>
        <w:t xml:space="preserve">During the n-back working memory task, spectral universality collapsed dramatically: mean inter-subject correlation fell to r = 0.7351 (Figure 3), a decrease of 25.4% from rest (p &lt; 0.001, paired t-test, Cohen's d = 2.1). This effect was uniform across all five bands (task r values: 0.734–0.736 vs. rest r values: 0.948–0.997), indicating that cognitive engagement disrupts the universal spectral template across the full frequency range rather than selectively affecting specific bands. Eyes-open rest showed intermediate universality (r = 0.9555) compared to eyes-closed rest (r = 0.9852), consistent with the greater idiosyncratic visual processing during eyes-open conditions (Table S2).</w:t>
      </w:r>
    </w:p>
    <w:p>
      <w:pPr>
        <w:pStyle w:val="Heading2"/>
        <w:spacing w:before="200" w:after="80"/>
      </w:pPr>
      <w:r>
        <w:rPr>
          <w:rFonts w:ascii="Times New Roman" w:cs="Times New Roman" w:eastAsia="Times New Roman" w:hAnsi="Times New Roman"/>
          <w:b/>
          <w:bCs/>
          <w:i/>
          <w:iCs/>
          <w:sz w:val="24"/>
          <w:szCs w:val="24"/>
        </w:rPr>
        <w:t xml:space="preserve">3.3 Topology Independence</w:t>
      </w:r>
    </w:p>
    <w:p>
      <w:pPr>
        <w:spacing w:line="480" w:lineRule="auto"/>
      </w:pPr>
      <w:r>
        <w:rPr>
          <w:rFonts w:ascii="Times New Roman" w:cs="Times New Roman" w:eastAsia="Times New Roman" w:hAnsi="Times New Roman"/>
          <w:sz w:val="24"/>
          <w:szCs w:val="24"/>
        </w:rPr>
        <w:t xml:space="preserve">Spectral universality was not an artifact of the Pearson correlation connectivity method. Phase-locking value (PLV) yielded the highest overall correlation (r = 0.9974), Pearson correlation gave r = 0.9902, and magnitude-squared coherence r = 0.8538 — all substantially above chance (Table S4). The universal spectral shape persists regardless of whether connectivity is defined by signal correlation, phase synchrony, or spectral coherence, suggesting it reflects a property of the underlying network topology rather than the specific coupling measure.</w:t>
      </w:r>
    </w:p>
    <w:p>
      <w:pPr>
        <w:pStyle w:val="Heading2"/>
        <w:spacing w:before="200" w:after="80"/>
      </w:pPr>
      <w:r>
        <w:rPr>
          <w:rFonts w:ascii="Times New Roman" w:cs="Times New Roman" w:eastAsia="Times New Roman" w:hAnsi="Times New Roman"/>
          <w:b/>
          <w:bCs/>
          <w:i/>
          <w:iCs/>
          <w:sz w:val="24"/>
          <w:szCs w:val="24"/>
        </w:rPr>
        <w:t xml:space="preserve">3.4 Large-Scale Validation: ABIDE Multi-Site fMRI (n = 871)</w:t>
      </w:r>
    </w:p>
    <w:p>
      <w:pPr>
        <w:spacing w:line="480" w:lineRule="auto"/>
      </w:pPr>
      <w:r>
        <w:rPr>
          <w:rFonts w:ascii="Times New Roman" w:cs="Times New Roman" w:eastAsia="Times New Roman" w:hAnsi="Times New Roman"/>
          <w:sz w:val="24"/>
          <w:szCs w:val="24"/>
        </w:rPr>
        <w:t xml:space="preserve">The core finding replicated comprehensively across the full ABIDE dataset. Computing spectral universality independently within each of all 17 acquisition sites, every single site exceeded the pre-specified threshold of r &gt; 0.95 (17/17; grand mean r = 0.9851, range 0.9777–0.9915; Table 2). All 17 sites also satisfied the CV criterion (&lt; 0.25), with per-site collapse scores ranging from 0.1141 (CMU) to 0.1916 (USM) and a grand mean CV of 0.1502 (Figure 4). The pre-specified primary comparison — NYU (n = 172, r = 0.9885, CV = 0.147) vs. University of Michigan (n = 120, r = 0.9878, CV = 0.151) — yielded a site CV difference of 0.004, far below the 0.05 threshold, and all three replication criteria were met. The highest universality was observed at Yale (r = 0.9915, CV = 0.1185, n = 41); the lowest at SBL (r = 0.9777, n = 26), which nevertheless cleared the threshold by a substantial margin. Notably, the result held across sites with widely varying sample sizes (11–172), scanner types, repetition times, and continental locations (Europe, North America), indicating that λ₂-rescaled spectral universality is acquisition-invariant.</w:t>
      </w:r>
    </w:p>
    <w:p>
      <w:pPr>
        <w:pStyle w:val="Heading2"/>
        <w:spacing w:before="200" w:after="80"/>
      </w:pPr>
      <w:r>
        <w:rPr>
          <w:rFonts w:ascii="Times New Roman" w:cs="Times New Roman" w:eastAsia="Times New Roman" w:hAnsi="Times New Roman"/>
          <w:b/>
          <w:bCs/>
          <w:i/>
          <w:iCs/>
          <w:sz w:val="24"/>
          <w:szCs w:val="24"/>
        </w:rPr>
        <w:t xml:space="preserve">3.5 Mechanistic Decomposition</w:t>
      </w:r>
    </w:p>
    <w:p>
      <w:pPr>
        <w:spacing w:line="480" w:lineRule="auto"/>
      </w:pPr>
      <w:r>
        <w:rPr>
          <w:rFonts w:ascii="Times New Roman" w:cs="Times New Roman" w:eastAsia="Times New Roman" w:hAnsi="Times New Roman"/>
          <w:sz w:val="24"/>
          <w:szCs w:val="24"/>
        </w:rPr>
        <w:t xml:space="preserve">Test A revealed that degree sequence alone accounts for 92.6% of per-subject spectral variance (within-subject R² = 0.926, r = 0.9625 between observed and Chung-Lu spectra, n = 871). This is quantitatively consistent with theoretical predictions from the Grone-Merris-Bai theorem and the Chung-Lu model, which establish that the first two spectral moments — dominating spectral shape — are completely determined by the degree distribution. The remaining 7.4% of variance reflects higher-order structure (community organization, rich-club connectivity, spatial embedding) that is itself highly conserved across individuals. The residual component showed no significant correlation with ASD diagnosis (Spearman r = 0.002, p = 0.95, n = 871), indicating that the non-degree-explained portion does not track diagnostic category in this dataset.</w:t>
      </w:r>
    </w:p>
    <w:p>
      <w:pPr>
        <w:spacing w:line="480" w:lineRule="auto"/>
      </w:pPr>
      <w:r>
        <w:rPr>
          <w:rFonts w:ascii="Times New Roman" w:cs="Times New Roman" w:eastAsia="Times New Roman" w:hAnsi="Times New Roman"/>
          <w:sz w:val="24"/>
          <w:szCs w:val="24"/>
        </w:rPr>
        <w:t xml:space="preserve">Test B demonstrated that λ₂ is the uniquely most stable eigenvalue across subjects. Ranking all 50 lowest eigenvalues by their coefficient of variation across 200 randomly sampled ABIDE subjects, λ₂ ranked first (CV = 0.177), meaning it is more reproducible than any other Laplacian eigenvalue. This is mechanistically meaningful: λ₂ reflects the network's global bottleneck connectivity, which is constrained by the conserved degree sequence and wiring economy principles that are common across individuals. Higher eigenvalues reflect progressively local structure with greater individual variation.</w:t>
      </w:r>
    </w:p>
    <w:p>
      <w:pPr>
        <w:spacing w:line="480" w:lineRule="auto"/>
      </w:pPr>
      <w:r>
        <w:rPr>
          <w:rFonts w:ascii="Times New Roman" w:cs="Times New Roman" w:eastAsia="Times New Roman" w:hAnsi="Times New Roman"/>
          <w:sz w:val="24"/>
          <w:szCs w:val="24"/>
        </w:rPr>
        <w:t xml:space="preserve">Together, Tests A and B establish a mechanistic hierarchy: (1) the conserved degree sequence fixes the global spectral shape to within 92.6% accuracy; (2) λ₂ is the single most reproducible eigenvalue within that shape; (3) rescaling by λ₂ therefore combines the most stable absolute reference with the most conserved shape, producing the near-perfect inter-subject alignment observed.</w:t>
      </w:r>
    </w:p>
    <w:p>
      <w:pPr>
        <w:pStyle w:val="Heading1"/>
        <w:spacing w:before="240" w:after="120"/>
      </w:pPr>
      <w:r>
        <w:rPr>
          <w:rFonts w:ascii="Times New Roman" w:cs="Times New Roman" w:eastAsia="Times New Roman" w:hAnsi="Times New Roman"/>
          <w:b/>
          <w:bCs/>
          <w:sz w:val="28"/>
          <w:szCs w:val="28"/>
        </w:rPr>
        <w:t xml:space="preserve">4. Discussion</w:t>
      </w:r>
    </w:p>
    <w:p>
      <w:pPr>
        <w:spacing w:line="480" w:lineRule="auto"/>
      </w:pPr>
      <w:r>
        <w:rPr>
          <w:rFonts w:ascii="Times New Roman" w:cs="Times New Roman" w:eastAsia="Times New Roman" w:hAnsi="Times New Roman"/>
          <w:sz w:val="24"/>
          <w:szCs w:val="24"/>
        </w:rPr>
        <w:t xml:space="preserve">We have demonstrated that λ₂-rescaled Laplacian eigenspectra of human brain functional networks converge on a near-universal template that is reproducible across individuals, modalities, connectivity methods, cognitive states, and independent acquisition sites. The magnitude of this universality — r &gt; 0.98 in the resting state, 410-fold above null model expectations — substantially exceeds what has been previously documented in the brain connectivity literature and is grounded in a principled mechanistic hierarchy.</w:t>
      </w:r>
    </w:p>
    <w:p>
      <w:pPr>
        <w:spacing w:line="480" w:lineRule="auto"/>
      </w:pPr>
      <w:r>
        <w:rPr>
          <w:rFonts w:ascii="Times New Roman" w:cs="Times New Roman" w:eastAsia="Times New Roman" w:hAnsi="Times New Roman"/>
          <w:sz w:val="24"/>
          <w:szCs w:val="24"/>
        </w:rPr>
        <w:t xml:space="preserve">The primary mechanistic explanation — that degree sequence constraints determine ~93% of spectral variance — is not a statistical coincidence but a mathematical necessity. The Grone-Merris-Bai theorem establishes that Laplacian eigenvalues are bounded by conjugate degree sequences, and the Chung-Lu model proves asymptotic convergence of spectral distributions to degree-controlled limits. Human brains share a conserved degree sequence through developmental wiring principles: spatiotemporal neurogenetic gradients (Goulas et al., 2019), geometric distance penalties (Horvát et al., 2016), and activity-dependent Hebbian plasticity all drive developing networks toward similar hub-dominated, small-world architectures. This developmental convergence — not measurement artifact — generates the conserved spectral template.</w:t>
      </w:r>
    </w:p>
    <w:p>
      <w:pPr>
        <w:spacing w:line="480" w:lineRule="auto"/>
      </w:pPr>
      <w:r>
        <w:rPr>
          <w:rFonts w:ascii="Times New Roman" w:cs="Times New Roman" w:eastAsia="Times New Roman" w:hAnsi="Times New Roman"/>
          <w:sz w:val="24"/>
          <w:szCs w:val="24"/>
        </w:rPr>
        <w:t xml:space="preserve">The 7.4% residual variance reflects higher-order structure — modular organization, rich-club connectivity, spatial embedding — that is itself highly conserved but not captured by the degree sequence alone. The fact that this residual shows no correlation with ASD diagnosis (r = 0.002, n = 871) deserves comment. It does not mean that spectral analysis cannot detect ASD differences; rather, the low-order spectral features captured by the universal template are so dominated by shared architecture that diagnostic variation represents a subtle perturbation on this universal background. Future work examining higher-order spectral statistics or specific eigenmode directions may be more sensitive to clinical differences.</w:t>
      </w:r>
    </w:p>
    <w:p>
      <w:pPr>
        <w:spacing w:line="480" w:lineRule="auto"/>
      </w:pPr>
      <w:r>
        <w:rPr>
          <w:rFonts w:ascii="Times New Roman" w:cs="Times New Roman" w:eastAsia="Times New Roman" w:hAnsi="Times New Roman"/>
          <w:sz w:val="24"/>
          <w:szCs w:val="24"/>
        </w:rPr>
        <w:t xml:space="preserve">The state dependence of spectral universality — the 25.4% decrease during n-back task engagement — provides a functional interpretation of the universal resting-state template. Rest-state brain dynamics have long been associated with the exploration of a broad repertoire of states (Deco et al., 2011), consistent with a universal attractor that spans the full spectral structure. Cognitive engagement narrows this exploration, recruiting specific functional networks and generating subject-specific spectral patterns that break the universal template. This is consistent with Sipes et al.'s (2024) finding that the "degenerate harmonics" — the eigenvalue regime associated with subject-specific flexible processing — show greater individual variation than the universal integrative and segregative regimes.</w:t>
      </w:r>
    </w:p>
    <w:p>
      <w:pPr>
        <w:spacing w:line="480" w:lineRule="auto"/>
      </w:pPr>
      <w:r>
        <w:rPr>
          <w:rFonts w:ascii="Times New Roman" w:cs="Times New Roman" w:eastAsia="Times New Roman" w:hAnsi="Times New Roman"/>
          <w:sz w:val="24"/>
          <w:szCs w:val="24"/>
        </w:rPr>
        <w:t xml:space="preserve">The finding that λ₂ is the uniquely most stable eigenvalue (rank 1 of 50, CV = 0.177 vs. all higher eigenvalues with larger CVs) provides independent empirical justification for its selection as the rescaling parameter. This stability was not assumed — it was tested against 49 alternative eigenvalue choices, all of which showed greater inter-subject variability. The physical interpretation is consistent: λ₂ reflects the global bottleneck of the network, which is determined by the most conserved architectural features (hub placement, rich-club organization, primary module boundaries), while higher eigenvalues reflect progressively local, idiosyncratic structure.</w:t>
      </w:r>
    </w:p>
    <w:p>
      <w:pPr>
        <w:spacing w:line="480" w:lineRule="auto"/>
      </w:pPr>
      <w:r>
        <w:rPr>
          <w:rFonts w:ascii="Times New Roman" w:cs="Times New Roman" w:eastAsia="Times New Roman" w:hAnsi="Times New Roman"/>
          <w:sz w:val="24"/>
          <w:szCs w:val="24"/>
        </w:rPr>
        <w:t xml:space="preserve">Several limitations warrant acknowledgment. The EEG dataset is small (n = 10) and the analysis was performed on a convenience sample without pre-registration of the primary result. The ABIDE dataset, while large, uses a single preprocessing pipeline variant and parcellation, and the generalizability to other atlases (Schaefer, Destrieux, HCP-MMP) requires further validation. The degree-sequence decomposition uses approximate Chung-Lu sampling rather than exact degree-preserving rewiring, which may slightly underestimate the degree constraint contribution. Finally, the EEG and fMRI analyses are not directly comparable — EEG connectivity reflects temporal correlations of electrical source activity, while fMRI reflects hemodynamic coupling, and the specific physical meaning of the CC200 parcellation Laplacian differs from a 64-electrode Laplacian.</w:t>
      </w:r>
    </w:p>
    <w:p>
      <w:pPr>
        <w:spacing w:line="480" w:lineRule="auto"/>
      </w:pPr>
      <w:r>
        <w:rPr>
          <w:rFonts w:ascii="Times New Roman" w:cs="Times New Roman" w:eastAsia="Times New Roman" w:hAnsi="Times New Roman"/>
          <w:sz w:val="24"/>
          <w:szCs w:val="24"/>
        </w:rPr>
        <w:t xml:space="preserve">Notwithstanding these limitations, the convergence of evidence across two modalities, 17 sites, three connectivity methods, and two cognitive states makes the core finding robust. The specific values (r &gt; 0.98, 410× null, 93% degree-explained, λ₂ rank 1) provide quantitative benchmarks for future work and falsifiable predictions for PMIR-based extensions to other complex systems where graph Laplacian structure may encode universal properties.</w:t>
      </w:r>
    </w:p>
    <w:p>
      <w:pPr>
        <w:pStyle w:val="Heading1"/>
        <w:spacing w:before="240" w:after="120"/>
      </w:pPr>
      <w:r>
        <w:rPr>
          <w:rFonts w:ascii="Times New Roman" w:cs="Times New Roman" w:eastAsia="Times New Roman" w:hAnsi="Times New Roman"/>
          <w:b/>
          <w:bCs/>
          <w:sz w:val="28"/>
          <w:szCs w:val="28"/>
        </w:rPr>
        <w:t xml:space="preserve">5. Conclusion</w:t>
      </w:r>
    </w:p>
    <w:p>
      <w:pPr>
        <w:spacing w:line="480" w:lineRule="auto"/>
      </w:pPr>
      <w:r>
        <w:rPr>
          <w:rFonts w:ascii="Times New Roman" w:cs="Times New Roman" w:eastAsia="Times New Roman" w:hAnsi="Times New Roman"/>
          <w:sz w:val="24"/>
          <w:szCs w:val="24"/>
        </w:rPr>
        <w:t xml:space="preserve">λ₂-rescaled Laplacian eigenspectra of human brain functional networks exhibit near-perfect inter-subject universality (r &gt; 0.98) that is topology-independent, state-modulated, and fully replicable across 17 independent acquisition sites. Degree sequence constraints account for 92.6% of this universality, and λ₂ is empirically the most stable eigenvalue in the Laplacian spectrum across subjects — not by theoretical assumption but by direct comparison. These results establish spectral universality as a foundational property of human brain organization and provide a quantitative benchmark for spectral graph models of brain dynamics.</w:t>
      </w:r>
    </w:p>
    <w:p>
      <w:pPr>
        <w:pStyle w:val="Heading1"/>
        <w:spacing w:before="240" w:after="120"/>
      </w:pPr>
      <w:r>
        <w:rPr>
          <w:rFonts w:ascii="Times New Roman" w:cs="Times New Roman" w:eastAsia="Times New Roman" w:hAnsi="Times New Roman"/>
          <w:b/>
          <w:bCs/>
          <w:sz w:val="28"/>
          <w:szCs w:val="28"/>
        </w:rPr>
        <w:t xml:space="preserve">References</w:t>
      </w:r>
    </w:p>
    <w:p>
      <w:pPr>
        <w:spacing w:line="480" w:lineRule="auto"/>
      </w:pPr>
      <w:r>
        <w:rPr>
          <w:rFonts w:ascii="Times New Roman" w:cs="Times New Roman" w:eastAsia="Times New Roman" w:hAnsi="Times New Roman"/>
          <w:sz w:val="24"/>
          <w:szCs w:val="24"/>
        </w:rPr>
        <w:t xml:space="preserve">Bai, Z.-Z. (2011). The Grone-Merris conjecture. Transactions of the American Mathematical Society, 363(8), 4463-4474.</w:t>
      </w:r>
    </w:p>
    <w:p>
      <w:pPr>
        <w:spacing w:line="480" w:lineRule="auto"/>
      </w:pPr>
      <w:r>
        <w:rPr>
          <w:rFonts w:ascii="Times New Roman" w:cs="Times New Roman" w:eastAsia="Times New Roman" w:hAnsi="Times New Roman"/>
          <w:sz w:val="24"/>
          <w:szCs w:val="24"/>
        </w:rPr>
        <w:t xml:space="preserve">Chung, F., Lu, L., &amp; Vu, V. (2003). Spectra of random graphs with given expected degrees. Proceedings of the National Academy of Sciences, 100(11), 6313-6318.</w:t>
      </w:r>
    </w:p>
    <w:p>
      <w:pPr>
        <w:spacing w:line="480" w:lineRule="auto"/>
      </w:pPr>
      <w:r>
        <w:rPr>
          <w:rFonts w:ascii="Times New Roman" w:cs="Times New Roman" w:eastAsia="Times New Roman" w:hAnsi="Times New Roman"/>
          <w:sz w:val="24"/>
          <w:szCs w:val="24"/>
        </w:rPr>
        <w:t xml:space="preserve">de Lange, S.C., de Reus, M.A., &amp; van den Heuvel, M.P. (2014). The laplacian spectrum of neural networks. Frontiers in Computational Neuroscience, 7, 189.</w:t>
      </w:r>
    </w:p>
    <w:p>
      <w:pPr>
        <w:spacing w:line="480" w:lineRule="auto"/>
      </w:pPr>
      <w:r>
        <w:rPr>
          <w:rFonts w:ascii="Times New Roman" w:cs="Times New Roman" w:eastAsia="Times New Roman" w:hAnsi="Times New Roman"/>
          <w:sz w:val="24"/>
          <w:szCs w:val="24"/>
        </w:rPr>
        <w:t xml:space="preserve">Deco, G., Jirsa, V.K., &amp; McIntosh, A.R. (2011). Emerging concepts for the dynamical organization of resting-state activity in the human brain. Nature Reviews Neuroscience, 12(1), 43-56.</w:t>
      </w:r>
    </w:p>
    <w:p>
      <w:pPr>
        <w:spacing w:line="480" w:lineRule="auto"/>
      </w:pPr>
      <w:r>
        <w:rPr>
          <w:rFonts w:ascii="Times New Roman" w:cs="Times New Roman" w:eastAsia="Times New Roman" w:hAnsi="Times New Roman"/>
          <w:sz w:val="24"/>
          <w:szCs w:val="24"/>
        </w:rPr>
        <w:t xml:space="preserve">Fiedler, M. (1973). Algebraic connectivity of graphs. Czechoslovak Mathematical Journal, 23(2), 298-305.</w:t>
      </w:r>
    </w:p>
    <w:p>
      <w:pPr>
        <w:spacing w:line="480" w:lineRule="auto"/>
      </w:pPr>
      <w:r>
        <w:rPr>
          <w:rFonts w:ascii="Times New Roman" w:cs="Times New Roman" w:eastAsia="Times New Roman" w:hAnsi="Times New Roman"/>
          <w:sz w:val="24"/>
          <w:szCs w:val="24"/>
        </w:rPr>
        <w:t xml:space="preserve">Goulas, A., Betzel, R.F., &amp; Hilgetag, C.C. (2019). Spatiotemporal ontogeny of brain wiring. Science Advances, 5(6), eaav9694.</w:t>
      </w:r>
    </w:p>
    <w:p>
      <w:pPr>
        <w:spacing w:line="480" w:lineRule="auto"/>
      </w:pPr>
      <w:r>
        <w:rPr>
          <w:rFonts w:ascii="Times New Roman" w:cs="Times New Roman" w:eastAsia="Times New Roman" w:hAnsi="Times New Roman"/>
          <w:sz w:val="24"/>
          <w:szCs w:val="24"/>
        </w:rPr>
        <w:t xml:space="preserve">Grone, R., &amp; Merris, R. (1994). The Laplacian spectrum of a graph II. SIAM Journal on Discrete Mathematics, 7(2), 221-229.</w:t>
      </w:r>
    </w:p>
    <w:p>
      <w:pPr>
        <w:spacing w:line="480" w:lineRule="auto"/>
      </w:pPr>
      <w:r>
        <w:rPr>
          <w:rFonts w:ascii="Times New Roman" w:cs="Times New Roman" w:eastAsia="Times New Roman" w:hAnsi="Times New Roman"/>
          <w:sz w:val="24"/>
          <w:szCs w:val="24"/>
        </w:rPr>
        <w:t xml:space="preserve">Horvát, S., Gămănut, R., Ercsey-Ravasz, M., et al. (2016). Spatial embedding and wiring cost constrain the functional layout of the cortical network of rodents and primates. PLOS Biology, 14(7), e1002512.</w:t>
      </w:r>
    </w:p>
    <w:p>
      <w:pPr>
        <w:spacing w:line="480" w:lineRule="auto"/>
      </w:pPr>
      <w:r>
        <w:rPr>
          <w:rFonts w:ascii="Times New Roman" w:cs="Times New Roman" w:eastAsia="Times New Roman" w:hAnsi="Times New Roman"/>
          <w:sz w:val="24"/>
          <w:szCs w:val="24"/>
        </w:rPr>
        <w:t xml:space="preserve">Marchenko, V.A., &amp; Pastur, L.A. (1967). Distribution of eigenvalues in certain sets of random matrices. Matematicheskii Sbornik, 72(4), 507-536.</w:t>
      </w:r>
    </w:p>
    <w:p>
      <w:pPr>
        <w:spacing w:line="480" w:lineRule="auto"/>
      </w:pPr>
      <w:r>
        <w:rPr>
          <w:rFonts w:ascii="Times New Roman" w:cs="Times New Roman" w:eastAsia="Times New Roman" w:hAnsi="Times New Roman"/>
          <w:sz w:val="24"/>
          <w:szCs w:val="24"/>
        </w:rPr>
        <w:t xml:space="preserve">Pang, J.C., Aquino, K.M., Oldehinkel, M., et al. (2023). Geometric constraints on human brain function. Nature, 618(7965), 566-574.</w:t>
      </w:r>
    </w:p>
    <w:p>
      <w:pPr>
        <w:spacing w:line="480" w:lineRule="auto"/>
      </w:pPr>
      <w:r>
        <w:rPr>
          <w:rFonts w:ascii="Times New Roman" w:cs="Times New Roman" w:eastAsia="Times New Roman" w:hAnsi="Times New Roman"/>
          <w:sz w:val="24"/>
          <w:szCs w:val="24"/>
        </w:rPr>
        <w:t xml:space="preserve">Raj, A., Cai, C., Xie, X., et al. (2020). Spectral graph theory of brain oscillations. Human Brain Mapping, 41(11), 2980-2998.</w:t>
      </w:r>
    </w:p>
    <w:p>
      <w:pPr>
        <w:spacing w:line="480" w:lineRule="auto"/>
      </w:pPr>
      <w:r>
        <w:rPr>
          <w:rFonts w:ascii="Times New Roman" w:cs="Times New Roman" w:eastAsia="Times New Roman" w:hAnsi="Times New Roman"/>
          <w:sz w:val="24"/>
          <w:szCs w:val="24"/>
        </w:rPr>
        <w:t xml:space="preserve">Sipes, B.S., Nagarajan, S.S., &amp; Raj, A. (2024). Spectral graph theory reveals the structure of functional hierarchies in human connectomes. bioRxiv.</w:t>
      </w:r>
    </w:p>
    <w:p>
      <w:pPr>
        <w:spacing w:line="480" w:lineRule="auto"/>
      </w:pPr>
      <w:r>
        <w:rPr>
          <w:rFonts w:ascii="Times New Roman" w:cs="Times New Roman" w:eastAsia="Times New Roman" w:hAnsi="Times New Roman"/>
          <w:sz w:val="24"/>
          <w:szCs w:val="24"/>
        </w:rPr>
        <w:t xml:space="preserve">Suárez, L.E., Markello, R.D., Betzel, R.F., &amp; Misic, B. (2022). Linking structure and function in macroscale brain networks. Trends in Cognitive Sciences, 24(4), 302-315.</w:t>
      </w:r>
    </w:p>
    <w:p>
      <w:pPr>
        <w:spacing w:line="480" w:lineRule="auto"/>
      </w:pPr>
      <w:r>
        <w:rPr>
          <w:rFonts w:ascii="Times New Roman" w:cs="Times New Roman" w:eastAsia="Times New Roman" w:hAnsi="Times New Roman"/>
          <w:sz w:val="24"/>
          <w:szCs w:val="24"/>
        </w:rPr>
        <w:t xml:space="preserve">van den Heuvel, M.P., &amp; Sporns, O. (2011). Rich-club organization of the human connectome. Journal of Neuroscience, 31(44), 15775-15786.</w:t>
      </w:r>
    </w:p>
    <w:p>
      <w:pPr>
        <w:spacing w:line="480" w:lineRule="auto"/>
      </w:pPr>
      <w:r>
        <w:rPr>
          <w:rFonts w:ascii="Times New Roman" w:cs="Times New Roman" w:eastAsia="Times New Roman" w:hAnsi="Times New Roman"/>
          <w:sz w:val="24"/>
          <w:szCs w:val="24"/>
        </w:rPr>
        <w:t xml:space="preserve">Verma, P., Nagarajan, S., &amp; Raj, A. (2022). Spectral graph theory of brain oscillations—revisited and improved. NeuroImage, 249, 118919.</w:t>
      </w:r>
    </w:p>
    <w:p>
      <w:pPr>
        <w:spacing w:line="480" w:lineRule="auto"/>
      </w:pPr>
      <w:r>
        <w:rPr>
          <w:rFonts w:ascii="Times New Roman" w:cs="Times New Roman" w:eastAsia="Times New Roman" w:hAnsi="Times New Roman"/>
          <w:sz w:val="24"/>
          <w:szCs w:val="24"/>
        </w:rPr>
        <w:t xml:space="preserve">Wang, R., Liu, M., Cheng, X., et al. (2017). Segregation, integration, and balance of large-scale resting brain networks configure different cognitive abilities. Proceedings of the National Academy of Sciences, 114(46), E9898-E9906.</w:t>
      </w:r>
    </w:p>
    <w:p>
      <w:pPr>
        <w:spacing w:line="480" w:lineRule="auto"/>
      </w:pPr>
      <w:r>
        <w:rPr>
          <w:rFonts w:ascii="Times New Roman" w:cs="Times New Roman" w:eastAsia="Times New Roman" w:hAnsi="Times New Roman"/>
          <w:sz w:val="24"/>
          <w:szCs w:val="24"/>
        </w:rPr>
        <w:t xml:space="preserve">Wigner, E.P. (1951). On the statistical distribution of the widths and spacings of nuclear resonance levels. Mathematical Proceedings of the Cambridge Philosophical Society, 47(4), 790-798.</w:t>
      </w:r>
    </w:p>
    <w:p>
      <w:pPr>
        <w:spacing w:line="240"/>
      </w:pPr>
    </w:p>
    <w:p>
      <w:pPr>
        <w:pStyle w:val="Heading1"/>
        <w:spacing w:before="240" w:after="120"/>
      </w:pPr>
      <w:r>
        <w:rPr>
          <w:rFonts w:ascii="Times New Roman" w:cs="Times New Roman" w:eastAsia="Times New Roman" w:hAnsi="Times New Roman"/>
          <w:b/>
          <w:bCs/>
          <w:sz w:val="28"/>
          <w:szCs w:val="28"/>
        </w:rPr>
        <w:t xml:space="preserve">Tables</w:t>
      </w:r>
    </w:p>
    <w:p>
      <w:pPr>
        <w:spacing w:line="480" w:lineRule="auto"/>
      </w:pPr>
      <w:r>
        <w:rPr>
          <w:rFonts w:ascii="Times New Roman" w:cs="Times New Roman" w:eastAsia="Times New Roman" w:hAnsi="Times New Roman"/>
          <w:b/>
          <w:bCs/>
          <w:sz w:val="24"/>
          <w:szCs w:val="24"/>
        </w:rPr>
        <w:t xml:space="preserve">Table 1. </w:t>
      </w:r>
      <w:r>
        <w:rPr>
          <w:rFonts w:ascii="Times New Roman" w:cs="Times New Roman" w:eastAsia="Times New Roman" w:hAnsi="Times New Roman"/>
          <w:sz w:val="24"/>
          <w:szCs w:val="24"/>
        </w:rPr>
        <w:t xml:space="preserve">Summary of EEG spectral universality metrics during rest and task conditions (n = 10). Band correlations reported as mean ± SD across 45 subject pairs. λ₂ CV = coefficient of variation of algebraic connectivity across subjects.</w:t>
      </w:r>
    </w:p>
    <w:p>
      <w:pPr>
        <w:spacing w:line="2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880"/>
        <w:gridCol w:w="2880"/>
      </w:tblGrid>
      <w:tr>
        <w:trPr>
          <w:tblHeader/>
        </w:trPr>
        <w:tc>
          <w:tcPr>
            <w:tcW w:type="dxa" w:w="3600"/>
            <w:tcBorders>
              <w:top w:val="single" w:color="AAAAAA" w:sz="1"/>
              <w:left w:val="single" w:color="AAAAAA" w:sz="1"/>
              <w:bottom w:val="single" w:color="AAAAAA" w:sz="1"/>
              <w:right w:val="single" w:color="AAAAAA" w:sz="1"/>
            </w:tcBorders>
            <w:shd w:fill="D0D8E8" w:val="clear"/>
            <w:tcMar>
              <w:top w:type="dxa" w:w="60"/>
              <w:left w:type="dxa" w:w="100"/>
              <w:bottom w:type="dxa" w:w="60"/>
              <w:right w:type="dxa" w:w="100"/>
            </w:tcMar>
          </w:tcPr>
          <w:p>
            <w:pPr>
              <w:jc w:val="left"/>
            </w:pPr>
            <w:r>
              <w:rPr>
                <w:rFonts w:ascii="Times New Roman" w:cs="Times New Roman" w:eastAsia="Times New Roman" w:hAnsi="Times New Roman"/>
                <w:b/>
                <w:bCs/>
                <w:sz w:val="20"/>
                <w:szCs w:val="20"/>
              </w:rPr>
              <w:t xml:space="preserve">Metric</w:t>
            </w:r>
          </w:p>
        </w:tc>
        <w:tc>
          <w:tcPr>
            <w:tcW w:type="dxa" w:w="2880"/>
            <w:tcBorders>
              <w:top w:val="single" w:color="AAAAAA" w:sz="1"/>
              <w:left w:val="single" w:color="AAAAAA" w:sz="1"/>
              <w:bottom w:val="single" w:color="AAAAAA" w:sz="1"/>
              <w:right w:val="single" w:color="AAAAAA" w:sz="1"/>
            </w:tcBorders>
            <w:shd w:fill="D0D8E8" w:val="clear"/>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Rest (Eyes-Closed)</w:t>
            </w:r>
          </w:p>
        </w:tc>
        <w:tc>
          <w:tcPr>
            <w:tcW w:type="dxa" w:w="2880"/>
            <w:tcBorders>
              <w:top w:val="single" w:color="AAAAAA" w:sz="1"/>
              <w:left w:val="single" w:color="AAAAAA" w:sz="1"/>
              <w:bottom w:val="single" w:color="AAAAAA" w:sz="1"/>
              <w:right w:val="single" w:color="AAAAAA" w:sz="1"/>
            </w:tcBorders>
            <w:shd w:fill="D0D8E8" w:val="clear"/>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Task (n-back)</w:t>
            </w:r>
          </w:p>
        </w:tc>
      </w:tr>
      <w:tr>
        <w:trPr>
          <w:tblHeader w:val="false"/>
        </w:trPr>
        <w:tc>
          <w:tcPr>
            <w:tcW w:type="dxa" w:w="3600"/>
            <w:tcBorders>
              <w:top w:val="single" w:color="AAAAAA" w:sz="1"/>
              <w:left w:val="single" w:color="AAAAAA" w:sz="1"/>
              <w:bottom w:val="single" w:color="AAAAAA" w:sz="1"/>
              <w:right w:val="single" w:color="AAAAAA" w:sz="1"/>
            </w:tcBorders>
            <w:shd w:fill="F2F4F8" w:val="clear"/>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N subjects</w:t>
            </w:r>
          </w:p>
        </w:tc>
        <w:tc>
          <w:tcPr>
            <w:tcW w:type="dxa" w:w="2880"/>
            <w:tcBorders>
              <w:top w:val="single" w:color="AAAAAA" w:sz="1"/>
              <w:left w:val="single" w:color="AAAAAA" w:sz="1"/>
              <w:bottom w:val="single" w:color="AAAAAA" w:sz="1"/>
              <w:right w:val="single" w:color="AAAAAA" w:sz="1"/>
            </w:tcBorders>
            <w:shd w:fill="F2F4F8" w:val="clear"/>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10</w:t>
            </w:r>
          </w:p>
        </w:tc>
        <w:tc>
          <w:tcPr>
            <w:tcW w:type="dxa" w:w="2880"/>
            <w:tcBorders>
              <w:top w:val="single" w:color="AAAAAA" w:sz="1"/>
              <w:left w:val="single" w:color="AAAAAA" w:sz="1"/>
              <w:bottom w:val="single" w:color="AAAAAA" w:sz="1"/>
              <w:right w:val="single" w:color="AAAAAA" w:sz="1"/>
            </w:tcBorders>
            <w:shd w:fill="F2F4F8" w:val="clear"/>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10</w:t>
            </w:r>
          </w:p>
        </w:tc>
      </w:tr>
      <w:tr>
        <w:trPr>
          <w:tblHeader w:val="false"/>
        </w:trPr>
        <w:tc>
          <w:tcPr>
            <w:tcW w:type="dxa" w:w="36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Overall correlation (r)</w:t>
            </w:r>
          </w:p>
        </w:tc>
        <w:tc>
          <w:tcPr>
            <w:tcW w:type="dxa" w:w="288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0.9852</w:t>
            </w:r>
          </w:p>
        </w:tc>
        <w:tc>
          <w:tcPr>
            <w:tcW w:type="dxa" w:w="288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0.7351</w:t>
            </w:r>
          </w:p>
        </w:tc>
      </w:tr>
      <w:tr>
        <w:trPr>
          <w:tblHeader w:val="false"/>
        </w:trPr>
        <w:tc>
          <w:tcPr>
            <w:tcW w:type="dxa" w:w="3600"/>
            <w:tcBorders>
              <w:top w:val="single" w:color="AAAAAA" w:sz="1"/>
              <w:left w:val="single" w:color="AAAAAA" w:sz="1"/>
              <w:bottom w:val="single" w:color="AAAAAA" w:sz="1"/>
              <w:right w:val="single" w:color="AAAAAA" w:sz="1"/>
            </w:tcBorders>
            <w:shd w:fill="F2F4F8" w:val="clear"/>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Band 1 correlation</w:t>
            </w:r>
          </w:p>
        </w:tc>
        <w:tc>
          <w:tcPr>
            <w:tcW w:type="dxa" w:w="2880"/>
            <w:tcBorders>
              <w:top w:val="single" w:color="AAAAAA" w:sz="1"/>
              <w:left w:val="single" w:color="AAAAAA" w:sz="1"/>
              <w:bottom w:val="single" w:color="AAAAAA" w:sz="1"/>
              <w:right w:val="single" w:color="AAAAAA" w:sz="1"/>
            </w:tcBorders>
            <w:shd w:fill="F2F4F8" w:val="clear"/>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0.9935 ± 0.0115</w:t>
            </w:r>
          </w:p>
        </w:tc>
        <w:tc>
          <w:tcPr>
            <w:tcW w:type="dxa" w:w="2880"/>
            <w:tcBorders>
              <w:top w:val="single" w:color="AAAAAA" w:sz="1"/>
              <w:left w:val="single" w:color="AAAAAA" w:sz="1"/>
              <w:bottom w:val="single" w:color="AAAAAA" w:sz="1"/>
              <w:right w:val="single" w:color="AAAAAA" w:sz="1"/>
            </w:tcBorders>
            <w:shd w:fill="F2F4F8" w:val="clear"/>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0.7360 ± 0.2798</w:t>
            </w:r>
          </w:p>
        </w:tc>
      </w:tr>
      <w:tr>
        <w:trPr>
          <w:tblHeader w:val="false"/>
        </w:trPr>
        <w:tc>
          <w:tcPr>
            <w:tcW w:type="dxa" w:w="36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Band 2 correlation</w:t>
            </w:r>
          </w:p>
        </w:tc>
        <w:tc>
          <w:tcPr>
            <w:tcW w:type="dxa" w:w="288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0.9941 ± 0.0076</w:t>
            </w:r>
          </w:p>
        </w:tc>
        <w:tc>
          <w:tcPr>
            <w:tcW w:type="dxa" w:w="288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0.7348 ± 0.2788</w:t>
            </w:r>
          </w:p>
        </w:tc>
      </w:tr>
      <w:tr>
        <w:trPr>
          <w:tblHeader w:val="false"/>
        </w:trPr>
        <w:tc>
          <w:tcPr>
            <w:tcW w:type="dxa" w:w="3600"/>
            <w:tcBorders>
              <w:top w:val="single" w:color="AAAAAA" w:sz="1"/>
              <w:left w:val="single" w:color="AAAAAA" w:sz="1"/>
              <w:bottom w:val="single" w:color="AAAAAA" w:sz="1"/>
              <w:right w:val="single" w:color="AAAAAA" w:sz="1"/>
            </w:tcBorders>
            <w:shd w:fill="F2F4F8" w:val="clear"/>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Band 3 correlation</w:t>
            </w:r>
          </w:p>
        </w:tc>
        <w:tc>
          <w:tcPr>
            <w:tcW w:type="dxa" w:w="2880"/>
            <w:tcBorders>
              <w:top w:val="single" w:color="AAAAAA" w:sz="1"/>
              <w:left w:val="single" w:color="AAAAAA" w:sz="1"/>
              <w:bottom w:val="single" w:color="AAAAAA" w:sz="1"/>
              <w:right w:val="single" w:color="AAAAAA" w:sz="1"/>
            </w:tcBorders>
            <w:shd w:fill="F2F4F8" w:val="clear"/>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0.9932 ± 0.0062</w:t>
            </w:r>
          </w:p>
        </w:tc>
        <w:tc>
          <w:tcPr>
            <w:tcW w:type="dxa" w:w="2880"/>
            <w:tcBorders>
              <w:top w:val="single" w:color="AAAAAA" w:sz="1"/>
              <w:left w:val="single" w:color="AAAAAA" w:sz="1"/>
              <w:bottom w:val="single" w:color="AAAAAA" w:sz="1"/>
              <w:right w:val="single" w:color="AAAAAA" w:sz="1"/>
            </w:tcBorders>
            <w:shd w:fill="F2F4F8" w:val="clear"/>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0.7347 ± 0.2782</w:t>
            </w:r>
          </w:p>
        </w:tc>
      </w:tr>
      <w:tr>
        <w:trPr>
          <w:tblHeader w:val="false"/>
        </w:trPr>
        <w:tc>
          <w:tcPr>
            <w:tcW w:type="dxa" w:w="36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Band 4 correlation</w:t>
            </w:r>
          </w:p>
        </w:tc>
        <w:tc>
          <w:tcPr>
            <w:tcW w:type="dxa" w:w="288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0.9967 ± 0.0030</w:t>
            </w:r>
          </w:p>
        </w:tc>
        <w:tc>
          <w:tcPr>
            <w:tcW w:type="dxa" w:w="288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0.7361 ± 0.2797</w:t>
            </w:r>
          </w:p>
        </w:tc>
      </w:tr>
      <w:tr>
        <w:trPr>
          <w:tblHeader w:val="false"/>
        </w:trPr>
        <w:tc>
          <w:tcPr>
            <w:tcW w:type="dxa" w:w="3600"/>
            <w:tcBorders>
              <w:top w:val="single" w:color="AAAAAA" w:sz="1"/>
              <w:left w:val="single" w:color="AAAAAA" w:sz="1"/>
              <w:bottom w:val="single" w:color="AAAAAA" w:sz="1"/>
              <w:right w:val="single" w:color="AAAAAA" w:sz="1"/>
            </w:tcBorders>
            <w:shd w:fill="F2F4F8" w:val="clear"/>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Band 5 correlation</w:t>
            </w:r>
          </w:p>
        </w:tc>
        <w:tc>
          <w:tcPr>
            <w:tcW w:type="dxa" w:w="2880"/>
            <w:tcBorders>
              <w:top w:val="single" w:color="AAAAAA" w:sz="1"/>
              <w:left w:val="single" w:color="AAAAAA" w:sz="1"/>
              <w:bottom w:val="single" w:color="AAAAAA" w:sz="1"/>
              <w:right w:val="single" w:color="AAAAAA" w:sz="1"/>
            </w:tcBorders>
            <w:shd w:fill="F2F4F8" w:val="clear"/>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0.9485 ± 0.0688</w:t>
            </w:r>
          </w:p>
        </w:tc>
        <w:tc>
          <w:tcPr>
            <w:tcW w:type="dxa" w:w="2880"/>
            <w:tcBorders>
              <w:top w:val="single" w:color="AAAAAA" w:sz="1"/>
              <w:left w:val="single" w:color="AAAAAA" w:sz="1"/>
              <w:bottom w:val="single" w:color="AAAAAA" w:sz="1"/>
              <w:right w:val="single" w:color="AAAAAA" w:sz="1"/>
            </w:tcBorders>
            <w:shd w:fill="F2F4F8" w:val="clear"/>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0.7337 ± 0.2773</w:t>
            </w:r>
          </w:p>
        </w:tc>
      </w:tr>
      <w:tr>
        <w:trPr>
          <w:tblHeader w:val="false"/>
        </w:trPr>
        <w:tc>
          <w:tcPr>
            <w:tcW w:type="dxa" w:w="36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λ₂ mean ± SD</w:t>
            </w:r>
          </w:p>
        </w:tc>
        <w:tc>
          <w:tcPr>
            <w:tcW w:type="dxa" w:w="288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0.709 ± 0.104</w:t>
            </w:r>
          </w:p>
        </w:tc>
        <w:tc>
          <w:tcPr>
            <w:tcW w:type="dxa" w:w="288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0.759 ± 0.104</w:t>
            </w:r>
          </w:p>
        </w:tc>
      </w:tr>
      <w:tr>
        <w:trPr>
          <w:tblHeader w:val="false"/>
        </w:trPr>
        <w:tc>
          <w:tcPr>
            <w:tcW w:type="dxa" w:w="3600"/>
            <w:tcBorders>
              <w:top w:val="single" w:color="AAAAAA" w:sz="1"/>
              <w:left w:val="single" w:color="AAAAAA" w:sz="1"/>
              <w:bottom w:val="single" w:color="AAAAAA" w:sz="1"/>
              <w:right w:val="single" w:color="AAAAAA" w:sz="1"/>
            </w:tcBorders>
            <w:shd w:fill="F2F4F8" w:val="clear"/>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λ₂ CV</w:t>
            </w:r>
          </w:p>
        </w:tc>
        <w:tc>
          <w:tcPr>
            <w:tcW w:type="dxa" w:w="2880"/>
            <w:tcBorders>
              <w:top w:val="single" w:color="AAAAAA" w:sz="1"/>
              <w:left w:val="single" w:color="AAAAAA" w:sz="1"/>
              <w:bottom w:val="single" w:color="AAAAAA" w:sz="1"/>
              <w:right w:val="single" w:color="AAAAAA" w:sz="1"/>
            </w:tcBorders>
            <w:shd w:fill="F2F4F8" w:val="clear"/>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14.6%</w:t>
            </w:r>
          </w:p>
        </w:tc>
        <w:tc>
          <w:tcPr>
            <w:tcW w:type="dxa" w:w="2880"/>
            <w:tcBorders>
              <w:top w:val="single" w:color="AAAAAA" w:sz="1"/>
              <w:left w:val="single" w:color="AAAAAA" w:sz="1"/>
              <w:bottom w:val="single" w:color="AAAAAA" w:sz="1"/>
              <w:right w:val="single" w:color="AAAAAA" w:sz="1"/>
            </w:tcBorders>
            <w:shd w:fill="F2F4F8" w:val="clear"/>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13.7%</w:t>
            </w:r>
          </w:p>
        </w:tc>
      </w:tr>
      <w:tr>
        <w:trPr>
          <w:tblHeader w:val="false"/>
        </w:trPr>
        <w:tc>
          <w:tcPr>
            <w:tcW w:type="dxa" w:w="36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Null model improvement</w:t>
            </w:r>
          </w:p>
        </w:tc>
        <w:tc>
          <w:tcPr>
            <w:tcW w:type="dxa" w:w="288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410×</w:t>
            </w:r>
          </w:p>
        </w:tc>
        <w:tc>
          <w:tcPr>
            <w:tcW w:type="dxa" w:w="288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w:t>
            </w:r>
          </w:p>
        </w:tc>
      </w:tr>
    </w:tbl>
    <w:p>
      <w:pPr>
        <w:spacing w:line="240"/>
      </w:pPr>
    </w:p>
    <w:p>
      <w:pPr>
        <w:spacing w:line="480" w:lineRule="auto"/>
      </w:pPr>
      <w:r>
        <w:rPr>
          <w:rFonts w:ascii="Times New Roman" w:cs="Times New Roman" w:eastAsia="Times New Roman" w:hAnsi="Times New Roman"/>
          <w:b/>
          <w:bCs/>
          <w:sz w:val="24"/>
          <w:szCs w:val="24"/>
        </w:rPr>
        <w:t xml:space="preserve">Table 2. </w:t>
      </w:r>
      <w:r>
        <w:rPr>
          <w:rFonts w:ascii="Times New Roman" w:cs="Times New Roman" w:eastAsia="Times New Roman" w:hAnsi="Times New Roman"/>
          <w:sz w:val="24"/>
          <w:szCs w:val="24"/>
        </w:rPr>
        <w:t xml:space="preserve">ABIDE fMRI spectral universality by acquisition site (n = 871, 17 sites). All 17 sites independently exceed r &gt; 0.95 and CV &lt; 0.25. Primary pre-specified comparison: NYU vs. University of Michigan.</w:t>
      </w:r>
    </w:p>
    <w:p>
      <w:pPr>
        <w:spacing w:line="2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200"/>
        <w:gridCol w:w="1760"/>
        <w:gridCol w:w="1760"/>
        <w:gridCol w:w="1320"/>
        <w:gridCol w:w="1320"/>
      </w:tblGrid>
      <w:tr>
        <w:trPr>
          <w:tblHeader/>
        </w:trPr>
        <w:tc>
          <w:tcPr>
            <w:tcW w:type="dxa" w:w="2000"/>
            <w:tcBorders>
              <w:top w:val="single" w:color="AAAAAA" w:sz="1"/>
              <w:left w:val="single" w:color="AAAAAA" w:sz="1"/>
              <w:bottom w:val="single" w:color="AAAAAA" w:sz="1"/>
              <w:right w:val="single" w:color="AAAAAA" w:sz="1"/>
            </w:tcBorders>
            <w:shd w:fill="D0D8E8" w:val="clear"/>
            <w:tcMar>
              <w:top w:type="dxa" w:w="60"/>
              <w:left w:type="dxa" w:w="100"/>
              <w:bottom w:type="dxa" w:w="60"/>
              <w:right w:type="dxa" w:w="100"/>
            </w:tcMar>
          </w:tcPr>
          <w:p>
            <w:pPr>
              <w:jc w:val="left"/>
            </w:pPr>
            <w:r>
              <w:rPr>
                <w:rFonts w:ascii="Times New Roman" w:cs="Times New Roman" w:eastAsia="Times New Roman" w:hAnsi="Times New Roman"/>
                <w:b/>
                <w:bCs/>
                <w:sz w:val="20"/>
                <w:szCs w:val="20"/>
              </w:rPr>
              <w:t xml:space="preserve">Site</w:t>
            </w:r>
          </w:p>
        </w:tc>
        <w:tc>
          <w:tcPr>
            <w:tcW w:type="dxa" w:w="1200"/>
            <w:tcBorders>
              <w:top w:val="single" w:color="AAAAAA" w:sz="1"/>
              <w:left w:val="single" w:color="AAAAAA" w:sz="1"/>
              <w:bottom w:val="single" w:color="AAAAAA" w:sz="1"/>
              <w:right w:val="single" w:color="AAAAAA" w:sz="1"/>
            </w:tcBorders>
            <w:shd w:fill="D0D8E8" w:val="clear"/>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N</w:t>
            </w:r>
          </w:p>
        </w:tc>
        <w:tc>
          <w:tcPr>
            <w:tcW w:type="dxa" w:w="1760"/>
            <w:tcBorders>
              <w:top w:val="single" w:color="AAAAAA" w:sz="1"/>
              <w:left w:val="single" w:color="AAAAAA" w:sz="1"/>
              <w:bottom w:val="single" w:color="AAAAAA" w:sz="1"/>
              <w:right w:val="single" w:color="AAAAAA" w:sz="1"/>
            </w:tcBorders>
            <w:shd w:fill="D0D8E8" w:val="clear"/>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Mean r</w:t>
            </w:r>
          </w:p>
        </w:tc>
        <w:tc>
          <w:tcPr>
            <w:tcW w:type="dxa" w:w="1760"/>
            <w:tcBorders>
              <w:top w:val="single" w:color="AAAAAA" w:sz="1"/>
              <w:left w:val="single" w:color="AAAAAA" w:sz="1"/>
              <w:bottom w:val="single" w:color="AAAAAA" w:sz="1"/>
              <w:right w:val="single" w:color="AAAAAA" w:sz="1"/>
            </w:tcBorders>
            <w:shd w:fill="D0D8E8" w:val="clear"/>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Collapse CV</w:t>
            </w:r>
          </w:p>
        </w:tc>
        <w:tc>
          <w:tcPr>
            <w:tcW w:type="dxa" w:w="1320"/>
            <w:tcBorders>
              <w:top w:val="single" w:color="AAAAAA" w:sz="1"/>
              <w:left w:val="single" w:color="AAAAAA" w:sz="1"/>
              <w:bottom w:val="single" w:color="AAAAAA" w:sz="1"/>
              <w:right w:val="single" w:color="AAAAAA" w:sz="1"/>
            </w:tcBorders>
            <w:shd w:fill="D0D8E8" w:val="clear"/>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ASD</w:t>
            </w:r>
          </w:p>
        </w:tc>
        <w:tc>
          <w:tcPr>
            <w:tcW w:type="dxa" w:w="1320"/>
            <w:tcBorders>
              <w:top w:val="single" w:color="AAAAAA" w:sz="1"/>
              <w:left w:val="single" w:color="AAAAAA" w:sz="1"/>
              <w:bottom w:val="single" w:color="AAAAAA" w:sz="1"/>
              <w:right w:val="single" w:color="AAAAAA" w:sz="1"/>
            </w:tcBorders>
            <w:shd w:fill="D0D8E8" w:val="clear"/>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Control</w:t>
            </w:r>
          </w:p>
        </w:tc>
      </w:tr>
      <w:tr>
        <w:trPr>
          <w:tblHeader w:val="false"/>
        </w:trPr>
        <w:tc>
          <w:tcPr>
            <w:tcW w:type="dxa" w:w="2000"/>
            <w:tcBorders>
              <w:top w:val="single" w:color="AAAAAA" w:sz="1"/>
              <w:left w:val="single" w:color="AAAAAA" w:sz="1"/>
              <w:bottom w:val="single" w:color="AAAAAA" w:sz="1"/>
              <w:right w:val="single" w:color="AAAAAA" w:sz="1"/>
            </w:tcBorders>
            <w:shd w:fill="F2F4F8" w:val="clear"/>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NYU</w:t>
            </w:r>
          </w:p>
        </w:tc>
        <w:tc>
          <w:tcPr>
            <w:tcW w:type="dxa" w:w="1200"/>
            <w:tcBorders>
              <w:top w:val="single" w:color="AAAAAA" w:sz="1"/>
              <w:left w:val="single" w:color="AAAAAA" w:sz="1"/>
              <w:bottom w:val="single" w:color="AAAAAA" w:sz="1"/>
              <w:right w:val="single" w:color="AAAAAA" w:sz="1"/>
            </w:tcBorders>
            <w:shd w:fill="F2F4F8" w:val="clear"/>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172</w:t>
            </w:r>
          </w:p>
        </w:tc>
        <w:tc>
          <w:tcPr>
            <w:tcW w:type="dxa" w:w="1760"/>
            <w:tcBorders>
              <w:top w:val="single" w:color="AAAAAA" w:sz="1"/>
              <w:left w:val="single" w:color="AAAAAA" w:sz="1"/>
              <w:bottom w:val="single" w:color="AAAAAA" w:sz="1"/>
              <w:right w:val="single" w:color="AAAAAA" w:sz="1"/>
            </w:tcBorders>
            <w:shd w:fill="F2F4F8" w:val="clear"/>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0.9885</w:t>
            </w:r>
          </w:p>
        </w:tc>
        <w:tc>
          <w:tcPr>
            <w:tcW w:type="dxa" w:w="1760"/>
            <w:tcBorders>
              <w:top w:val="single" w:color="AAAAAA" w:sz="1"/>
              <w:left w:val="single" w:color="AAAAAA" w:sz="1"/>
              <w:bottom w:val="single" w:color="AAAAAA" w:sz="1"/>
              <w:right w:val="single" w:color="AAAAAA" w:sz="1"/>
            </w:tcBorders>
            <w:shd w:fill="F2F4F8" w:val="clear"/>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0.147</w:t>
            </w:r>
          </w:p>
        </w:tc>
        <w:tc>
          <w:tcPr>
            <w:tcW w:type="dxa" w:w="1320"/>
            <w:tcBorders>
              <w:top w:val="single" w:color="AAAAAA" w:sz="1"/>
              <w:left w:val="single" w:color="AAAAAA" w:sz="1"/>
              <w:bottom w:val="single" w:color="AAAAAA" w:sz="1"/>
              <w:right w:val="single" w:color="AAAAAA" w:sz="1"/>
            </w:tcBorders>
            <w:shd w:fill="F2F4F8" w:val="clear"/>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75</w:t>
            </w:r>
          </w:p>
        </w:tc>
        <w:tc>
          <w:tcPr>
            <w:tcW w:type="dxa" w:w="1320"/>
            <w:tcBorders>
              <w:top w:val="single" w:color="AAAAAA" w:sz="1"/>
              <w:left w:val="single" w:color="AAAAAA" w:sz="1"/>
              <w:bottom w:val="single" w:color="AAAAAA" w:sz="1"/>
              <w:right w:val="single" w:color="AAAAAA" w:sz="1"/>
            </w:tcBorders>
            <w:shd w:fill="F2F4F8" w:val="clear"/>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97</w:t>
            </w:r>
          </w:p>
        </w:tc>
      </w:tr>
      <w:tr>
        <w:trPr>
          <w:tblHeader w:val="false"/>
        </w:trPr>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Univ. Michigan</w:t>
            </w:r>
          </w:p>
        </w:tc>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120</w:t>
            </w:r>
          </w:p>
        </w:tc>
        <w:tc>
          <w:tcPr>
            <w:tcW w:type="dxa" w:w="176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0.9878</w:t>
            </w:r>
          </w:p>
        </w:tc>
        <w:tc>
          <w:tcPr>
            <w:tcW w:type="dxa" w:w="176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0.151</w:t>
            </w:r>
          </w:p>
        </w:tc>
        <w:tc>
          <w:tcPr>
            <w:tcW w:type="dxa" w:w="132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51</w:t>
            </w:r>
          </w:p>
        </w:tc>
        <w:tc>
          <w:tcPr>
            <w:tcW w:type="dxa" w:w="132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69</w:t>
            </w:r>
          </w:p>
        </w:tc>
      </w:tr>
      <w:tr>
        <w:trPr>
          <w:tblHeader w:val="false"/>
        </w:trPr>
        <w:tc>
          <w:tcPr>
            <w:tcW w:type="dxa" w:w="2000"/>
            <w:tcBorders>
              <w:top w:val="single" w:color="AAAAAA" w:sz="1"/>
              <w:left w:val="single" w:color="AAAAAA" w:sz="1"/>
              <w:bottom w:val="single" w:color="AAAAAA" w:sz="1"/>
              <w:right w:val="single" w:color="AAAAAA" w:sz="1"/>
            </w:tcBorders>
            <w:shd w:fill="F2F4F8" w:val="clear"/>
            <w:tcMar>
              <w:top w:type="dxa" w:w="60"/>
              <w:left w:type="dxa" w:w="100"/>
              <w:bottom w:type="dxa" w:w="60"/>
              <w:right w:type="dxa" w:w="100"/>
            </w:tcMar>
          </w:tcPr>
          <w:p>
            <w:pPr>
              <w:jc w:val="left"/>
            </w:pPr>
            <w:r>
              <w:rPr>
                <w:rFonts w:ascii="Times New Roman" w:cs="Times New Roman" w:eastAsia="Times New Roman" w:hAnsi="Times New Roman"/>
                <w:b/>
                <w:bCs/>
                <w:sz w:val="20"/>
                <w:szCs w:val="20"/>
              </w:rPr>
              <w:t xml:space="preserve">All 17 sites</w:t>
            </w:r>
          </w:p>
        </w:tc>
        <w:tc>
          <w:tcPr>
            <w:tcW w:type="dxa" w:w="1200"/>
            <w:tcBorders>
              <w:top w:val="single" w:color="AAAAAA" w:sz="1"/>
              <w:left w:val="single" w:color="AAAAAA" w:sz="1"/>
              <w:bottom w:val="single" w:color="AAAAAA" w:sz="1"/>
              <w:right w:val="single" w:color="AAAAAA" w:sz="1"/>
            </w:tcBorders>
            <w:shd w:fill="F2F4F8" w:val="clear"/>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871</w:t>
            </w:r>
          </w:p>
        </w:tc>
        <w:tc>
          <w:tcPr>
            <w:tcW w:type="dxa" w:w="1760"/>
            <w:tcBorders>
              <w:top w:val="single" w:color="AAAAAA" w:sz="1"/>
              <w:left w:val="single" w:color="AAAAAA" w:sz="1"/>
              <w:bottom w:val="single" w:color="AAAAAA" w:sz="1"/>
              <w:right w:val="single" w:color="AAAAAA" w:sz="1"/>
            </w:tcBorders>
            <w:shd w:fill="F2F4F8" w:val="clear"/>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0.9851</w:t>
            </w:r>
          </w:p>
        </w:tc>
        <w:tc>
          <w:tcPr>
            <w:tcW w:type="dxa" w:w="1760"/>
            <w:tcBorders>
              <w:top w:val="single" w:color="AAAAAA" w:sz="1"/>
              <w:left w:val="single" w:color="AAAAAA" w:sz="1"/>
              <w:bottom w:val="single" w:color="AAAAAA" w:sz="1"/>
              <w:right w:val="single" w:color="AAAAAA" w:sz="1"/>
            </w:tcBorders>
            <w:shd w:fill="F2F4F8" w:val="clear"/>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0.1502 (grand mean)</w:t>
            </w:r>
          </w:p>
        </w:tc>
        <w:tc>
          <w:tcPr>
            <w:tcW w:type="dxa" w:w="1320"/>
            <w:tcBorders>
              <w:top w:val="single" w:color="AAAAAA" w:sz="1"/>
              <w:left w:val="single" w:color="AAAAAA" w:sz="1"/>
              <w:bottom w:val="single" w:color="AAAAAA" w:sz="1"/>
              <w:right w:val="single" w:color="AAAAAA" w:sz="1"/>
            </w:tcBorders>
            <w:shd w:fill="F2F4F8" w:val="clear"/>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403</w:t>
            </w:r>
          </w:p>
        </w:tc>
        <w:tc>
          <w:tcPr>
            <w:tcW w:type="dxa" w:w="1320"/>
            <w:tcBorders>
              <w:top w:val="single" w:color="AAAAAA" w:sz="1"/>
              <w:left w:val="single" w:color="AAAAAA" w:sz="1"/>
              <w:bottom w:val="single" w:color="AAAAAA" w:sz="1"/>
              <w:right w:val="single" w:color="AAAAAA" w:sz="1"/>
            </w:tcBorders>
            <w:shd w:fill="F2F4F8" w:val="clear"/>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468</w:t>
            </w:r>
          </w:p>
        </w:tc>
      </w:tr>
    </w:tbl>
    <w:p>
      <w:pPr>
        <w:spacing w:line="240"/>
      </w:pPr>
    </w:p>
    <w:p>
      <w:pPr>
        <w:spacing w:line="480" w:lineRule="auto"/>
      </w:pPr>
      <w:r>
        <w:rPr>
          <w:rFonts w:ascii="Times New Roman" w:cs="Times New Roman" w:eastAsia="Times New Roman" w:hAnsi="Times New Roman"/>
          <w:b/>
          <w:bCs/>
          <w:sz w:val="24"/>
          <w:szCs w:val="24"/>
        </w:rPr>
        <w:t xml:space="preserve">Table 3. </w:t>
      </w:r>
      <w:r>
        <w:rPr>
          <w:rFonts w:ascii="Times New Roman" w:cs="Times New Roman" w:eastAsia="Times New Roman" w:hAnsi="Times New Roman"/>
          <w:sz w:val="24"/>
          <w:szCs w:val="24"/>
        </w:rPr>
        <w:t xml:space="preserve">Refined mechanistic validation analyses performed on the full ABIDE sample (n = 871). All three pre-specified criteria met.</w:t>
      </w:r>
    </w:p>
    <w:p>
      <w:pPr>
        <w:spacing w:line="2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4360"/>
        <w:gridCol w:w="1760"/>
        <w:gridCol w:w="1840"/>
      </w:tblGrid>
      <w:tr>
        <w:trPr>
          <w:tblHeader/>
        </w:trPr>
        <w:tc>
          <w:tcPr>
            <w:tcW w:type="dxa" w:w="1400"/>
            <w:tcBorders>
              <w:top w:val="single" w:color="AAAAAA" w:sz="1"/>
              <w:left w:val="single" w:color="AAAAAA" w:sz="1"/>
              <w:bottom w:val="single" w:color="AAAAAA" w:sz="1"/>
              <w:right w:val="single" w:color="AAAAAA" w:sz="1"/>
            </w:tcBorders>
            <w:shd w:fill="D0D8E8" w:val="clear"/>
            <w:tcMar>
              <w:top w:type="dxa" w:w="60"/>
              <w:left w:type="dxa" w:w="100"/>
              <w:bottom w:type="dxa" w:w="60"/>
              <w:right w:type="dxa" w:w="100"/>
            </w:tcMar>
          </w:tcPr>
          <w:p>
            <w:pPr>
              <w:jc w:val="left"/>
            </w:pPr>
            <w:r>
              <w:rPr>
                <w:rFonts w:ascii="Times New Roman" w:cs="Times New Roman" w:eastAsia="Times New Roman" w:hAnsi="Times New Roman"/>
                <w:b/>
                <w:bCs/>
                <w:sz w:val="20"/>
                <w:szCs w:val="20"/>
              </w:rPr>
              <w:t xml:space="preserve">Test</w:t>
            </w:r>
          </w:p>
        </w:tc>
        <w:tc>
          <w:tcPr>
            <w:tcW w:type="dxa" w:w="4360"/>
            <w:tcBorders>
              <w:top w:val="single" w:color="AAAAAA" w:sz="1"/>
              <w:left w:val="single" w:color="AAAAAA" w:sz="1"/>
              <w:bottom w:val="single" w:color="AAAAAA" w:sz="1"/>
              <w:right w:val="single" w:color="AAAAAA" w:sz="1"/>
            </w:tcBorders>
            <w:shd w:fill="D0D8E8" w:val="clear"/>
            <w:tcMar>
              <w:top w:type="dxa" w:w="60"/>
              <w:left w:type="dxa" w:w="100"/>
              <w:bottom w:type="dxa" w:w="60"/>
              <w:right w:type="dxa" w:w="100"/>
            </w:tcMar>
          </w:tcPr>
          <w:p>
            <w:pPr>
              <w:jc w:val="left"/>
            </w:pPr>
            <w:r>
              <w:rPr>
                <w:rFonts w:ascii="Times New Roman" w:cs="Times New Roman" w:eastAsia="Times New Roman" w:hAnsi="Times New Roman"/>
                <w:b/>
                <w:bCs/>
                <w:sz w:val="20"/>
                <w:szCs w:val="20"/>
              </w:rPr>
              <w:t xml:space="preserve">Description</w:t>
            </w:r>
          </w:p>
        </w:tc>
        <w:tc>
          <w:tcPr>
            <w:tcW w:type="dxa" w:w="1760"/>
            <w:tcBorders>
              <w:top w:val="single" w:color="AAAAAA" w:sz="1"/>
              <w:left w:val="single" w:color="AAAAAA" w:sz="1"/>
              <w:bottom w:val="single" w:color="AAAAAA" w:sz="1"/>
              <w:right w:val="single" w:color="AAAAAA" w:sz="1"/>
            </w:tcBorders>
            <w:shd w:fill="D0D8E8" w:val="clear"/>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Result</w:t>
            </w:r>
          </w:p>
        </w:tc>
        <w:tc>
          <w:tcPr>
            <w:tcW w:type="dxa" w:w="1840"/>
            <w:tcBorders>
              <w:top w:val="single" w:color="AAAAAA" w:sz="1"/>
              <w:left w:val="single" w:color="AAAAAA" w:sz="1"/>
              <w:bottom w:val="single" w:color="AAAAAA" w:sz="1"/>
              <w:right w:val="single" w:color="AAAAAA" w:sz="1"/>
            </w:tcBorders>
            <w:shd w:fill="D0D8E8" w:val="clear"/>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Verdict</w:t>
            </w:r>
          </w:p>
        </w:tc>
      </w:tr>
      <w:tr>
        <w:trPr>
          <w:tblHeader w:val="false"/>
        </w:trPr>
        <w:tc>
          <w:tcPr>
            <w:tcW w:type="dxa" w:w="1400"/>
            <w:tcBorders>
              <w:top w:val="single" w:color="AAAAAA" w:sz="1"/>
              <w:left w:val="single" w:color="AAAAAA" w:sz="1"/>
              <w:bottom w:val="single" w:color="AAAAAA" w:sz="1"/>
              <w:right w:val="single" w:color="AAAAAA" w:sz="1"/>
            </w:tcBorders>
            <w:shd w:fill="F2F4F8" w:val="clear"/>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A</w:t>
            </w:r>
          </w:p>
        </w:tc>
        <w:tc>
          <w:tcPr>
            <w:tcW w:type="dxa" w:w="4360"/>
            <w:tcBorders>
              <w:top w:val="single" w:color="AAAAAA" w:sz="1"/>
              <w:left w:val="single" w:color="AAAAAA" w:sz="1"/>
              <w:bottom w:val="single" w:color="AAAAAA" w:sz="1"/>
              <w:right w:val="single" w:color="AAAAAA" w:sz="1"/>
            </w:tcBorders>
            <w:shd w:fill="F2F4F8" w:val="clear"/>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Degree-constraint decomposition (n = 871)</w:t>
            </w:r>
          </w:p>
        </w:tc>
        <w:tc>
          <w:tcPr>
            <w:tcW w:type="dxa" w:w="1760"/>
            <w:tcBorders>
              <w:top w:val="single" w:color="AAAAAA" w:sz="1"/>
              <w:left w:val="single" w:color="AAAAAA" w:sz="1"/>
              <w:bottom w:val="single" w:color="AAAAAA" w:sz="1"/>
              <w:right w:val="single" w:color="AAAAAA" w:sz="1"/>
            </w:tcBorders>
            <w:shd w:fill="F2F4F8" w:val="clear"/>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R² = 92.6%, r = 0.963</w:t>
            </w:r>
          </w:p>
        </w:tc>
        <w:tc>
          <w:tcPr>
            <w:tcW w:type="dxa" w:w="1840"/>
            <w:tcBorders>
              <w:top w:val="single" w:color="AAAAAA" w:sz="1"/>
              <w:left w:val="single" w:color="AAAAAA" w:sz="1"/>
              <w:bottom w:val="single" w:color="AAAAAA" w:sz="1"/>
              <w:right w:val="single" w:color="AAAAAA" w:sz="1"/>
            </w:tcBorders>
            <w:shd w:fill="F2F4F8" w:val="clear"/>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Degree-constrained ✓</w:t>
            </w:r>
          </w:p>
        </w:tc>
      </w:tr>
      <w:tr>
        <w:trPr>
          <w:tblHeader w:val="false"/>
        </w:trPr>
        <w:tc>
          <w:tcPr>
            <w:tcW w:type="dxa" w:w="14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B</w:t>
            </w:r>
          </w:p>
        </w:tc>
        <w:tc>
          <w:tcPr>
            <w:tcW w:type="dxa" w:w="436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λ₂ eigenvalue stability (n = 200 subsample)</w:t>
            </w:r>
          </w:p>
        </w:tc>
        <w:tc>
          <w:tcPr>
            <w:tcW w:type="dxa" w:w="176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λ₂ CV = 0.177, Rank #1</w:t>
            </w:r>
          </w:p>
        </w:tc>
        <w:tc>
          <w:tcPr>
            <w:tcW w:type="dxa" w:w="184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λ₂ uniquely stable ✓</w:t>
            </w:r>
          </w:p>
        </w:tc>
      </w:tr>
      <w:tr>
        <w:trPr>
          <w:tblHeader w:val="false"/>
        </w:trPr>
        <w:tc>
          <w:tcPr>
            <w:tcW w:type="dxa" w:w="1400"/>
            <w:tcBorders>
              <w:top w:val="single" w:color="AAAAAA" w:sz="1"/>
              <w:left w:val="single" w:color="AAAAAA" w:sz="1"/>
              <w:bottom w:val="single" w:color="AAAAAA" w:sz="1"/>
              <w:right w:val="single" w:color="AAAAAA" w:sz="1"/>
            </w:tcBorders>
            <w:shd w:fill="F2F4F8" w:val="clear"/>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C</w:t>
            </w:r>
          </w:p>
        </w:tc>
        <w:tc>
          <w:tcPr>
            <w:tcW w:type="dxa" w:w="4360"/>
            <w:tcBorders>
              <w:top w:val="single" w:color="AAAAAA" w:sz="1"/>
              <w:left w:val="single" w:color="AAAAAA" w:sz="1"/>
              <w:bottom w:val="single" w:color="AAAAAA" w:sz="1"/>
              <w:right w:val="single" w:color="AAAAAA" w:sz="1"/>
            </w:tcBorders>
            <w:shd w:fill="F2F4F8" w:val="clear"/>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Site replication: NYU (n=172) vs. UM (n=120)</w:t>
            </w:r>
          </w:p>
        </w:tc>
        <w:tc>
          <w:tcPr>
            <w:tcW w:type="dxa" w:w="1760"/>
            <w:tcBorders>
              <w:top w:val="single" w:color="AAAAAA" w:sz="1"/>
              <w:left w:val="single" w:color="AAAAAA" w:sz="1"/>
              <w:bottom w:val="single" w:color="AAAAAA" w:sz="1"/>
              <w:right w:val="single" w:color="AAAAAA" w:sz="1"/>
            </w:tcBorders>
            <w:shd w:fill="F2F4F8" w:val="clear"/>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ΔCV = 0.004 &lt; 0.05</w:t>
            </w:r>
          </w:p>
        </w:tc>
        <w:tc>
          <w:tcPr>
            <w:tcW w:type="dxa" w:w="1840"/>
            <w:tcBorders>
              <w:top w:val="single" w:color="AAAAAA" w:sz="1"/>
              <w:left w:val="single" w:color="AAAAAA" w:sz="1"/>
              <w:bottom w:val="single" w:color="AAAAAA" w:sz="1"/>
              <w:right w:val="single" w:color="AAAAAA" w:sz="1"/>
            </w:tcBorders>
            <w:shd w:fill="F2F4F8" w:val="clear"/>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Replicated ✓</w:t>
            </w:r>
          </w:p>
        </w:tc>
      </w:tr>
    </w:tbl>
    <w:p>
      <w:pPr>
        <w:spacing w:line="240"/>
      </w:pPr>
    </w:p>
    <w:p>
      <w:pPr>
        <w:pStyle w:val="Heading1"/>
        <w:spacing w:before="240" w:after="120"/>
      </w:pPr>
      <w:r>
        <w:rPr>
          <w:rFonts w:ascii="Times New Roman" w:cs="Times New Roman" w:eastAsia="Times New Roman" w:hAnsi="Times New Roman"/>
          <w:b/>
          <w:bCs/>
          <w:sz w:val="28"/>
          <w:szCs w:val="28"/>
        </w:rPr>
        <w:t xml:space="preserve">Figure Captions</w:t>
      </w:r>
    </w:p>
    <w:p>
      <w:pPr>
        <w:spacing w:line="480" w:lineRule="auto"/>
      </w:pPr>
      <w:r>
        <w:rPr>
          <w:rFonts w:ascii="Times New Roman" w:cs="Times New Roman" w:eastAsia="Times New Roman" w:hAnsi="Times New Roman"/>
          <w:b/>
          <w:bCs/>
          <w:sz w:val="24"/>
          <w:szCs w:val="24"/>
        </w:rPr>
        <w:t xml:space="preserve">Figure 1. </w:t>
      </w:r>
      <w:r>
        <w:rPr>
          <w:rFonts w:ascii="Times New Roman" w:cs="Times New Roman" w:eastAsia="Times New Roman" w:hAnsi="Times New Roman"/>
          <w:sz w:val="24"/>
          <w:szCs w:val="24"/>
        </w:rPr>
        <w:t xml:space="preserve">λ₂-rescaled Laplacian eigenspectrum universality in resting-state EEG. (A) Raw eigenspectra for 10 subjects show substantial variation in absolute magnitude. (B) After λ₂ rescaling, eigenspectra collapse to a narrow universal band. (C) Inter-subject correlation matrix for the rescaled spectra, showing near-perfect pair-wise alignment (mean r = 0.9852). (D) Comparison with degree-preserving null model (configuration model), showing 410-fold improvement in universality.</w:t>
      </w:r>
    </w:p>
    <w:p>
      <w:pPr>
        <w:spacing w:line="480" w:lineRule="auto"/>
      </w:pPr>
      <w:r>
        <w:rPr>
          <w:rFonts w:ascii="Times New Roman" w:cs="Times New Roman" w:eastAsia="Times New Roman" w:hAnsi="Times New Roman"/>
          <w:b/>
          <w:bCs/>
          <w:sz w:val="24"/>
          <w:szCs w:val="24"/>
        </w:rPr>
        <w:t xml:space="preserve">Figure 2. </w:t>
      </w:r>
      <w:r>
        <w:rPr>
          <w:rFonts w:ascii="Times New Roman" w:cs="Times New Roman" w:eastAsia="Times New Roman" w:hAnsi="Times New Roman"/>
          <w:sz w:val="24"/>
          <w:szCs w:val="24"/>
        </w:rPr>
        <w:t xml:space="preserve">Band-by-band spectral collapse scores. Five logarithmically spaced spectral bands show mean inter-subject correlations ranging from r = 0.9485 (Band 5) to r = 0.9967 (Band 4). Error bars show ± 1 SD across the 45 subject pairs. Dashed line indicates the overall mean (r = 0.9852).</w:t>
      </w:r>
    </w:p>
    <w:p>
      <w:pPr>
        <w:spacing w:line="480" w:lineRule="auto"/>
      </w:pPr>
      <w:r>
        <w:rPr>
          <w:rFonts w:ascii="Times New Roman" w:cs="Times New Roman" w:eastAsia="Times New Roman" w:hAnsi="Times New Roman"/>
          <w:b/>
          <w:bCs/>
          <w:sz w:val="24"/>
          <w:szCs w:val="24"/>
        </w:rPr>
        <w:t xml:space="preserve">Figure 3. </w:t>
      </w:r>
      <w:r>
        <w:rPr>
          <w:rFonts w:ascii="Times New Roman" w:cs="Times New Roman" w:eastAsia="Times New Roman" w:hAnsi="Times New Roman"/>
          <w:sz w:val="24"/>
          <w:szCs w:val="24"/>
        </w:rPr>
        <w:t xml:space="preserve">Rest vs. task spectral universality. (A) Band-by-band correlations during rest (blue) and n-back task (red). Task engagement uniformly reduces universality across all bands. (B) Per-subject distribution of inter-subject correlations in rest vs. task. (C) λ₂ values for each subject in both conditions. The 25.4% reduction (p &lt; 0.001) indicates that cognitive engagement breaks the universal resting-state spectral attractor.</w:t>
      </w:r>
    </w:p>
    <w:p>
      <w:pPr>
        <w:spacing w:line="480" w:lineRule="auto"/>
      </w:pPr>
      <w:r>
        <w:rPr>
          <w:rFonts w:ascii="Times New Roman" w:cs="Times New Roman" w:eastAsia="Times New Roman" w:hAnsi="Times New Roman"/>
          <w:b/>
          <w:bCs/>
          <w:sz w:val="24"/>
          <w:szCs w:val="24"/>
        </w:rPr>
        <w:t xml:space="preserve">Figure 4. </w:t>
      </w:r>
      <w:r>
        <w:rPr>
          <w:rFonts w:ascii="Times New Roman" w:cs="Times New Roman" w:eastAsia="Times New Roman" w:hAnsi="Times New Roman"/>
          <w:sz w:val="24"/>
          <w:szCs w:val="24"/>
        </w:rPr>
        <w:t xml:space="preserve">Multi-site replication in ABIDE (n = 871, 17 sites). (A) Mean inter-subject r for each of the 17 ABIDE acquisition sites computed independently; bubble size proportional to n. Dashed red line = pre-specified threshold r = 0.95. All 17/17 sites pass (range 0.9777–0.9915). (B) Per-site collapse score (CV); all 17 sites below CV = 0.25 threshold. (C) λ₂ absolute scale (mean) by site, showing that the absolute value of algebraic connectivity varies by scanner/protocol (λ₂ range ≈ 22–30) while spectral shape remains invariant after rescaling. Primary pre-specified comparison: NYU vs. University of Michigan (r difference = 0.0007, CV difference = 0.004, 3/3 replication criteria met).</w:t>
      </w:r>
    </w:p>
    <w:p>
      <w:r>
        <w:br w:type="page"/>
      </w:r>
    </w:p>
    <w:p>
      <w:pPr>
        <w:spacing w:before="480" w:after="240"/>
        <w:jc w:val="center"/>
      </w:pPr>
      <w:r>
        <w:rPr>
          <w:rFonts w:ascii="Times New Roman" w:cs="Times New Roman" w:eastAsia="Times New Roman" w:hAnsi="Times New Roman"/>
          <w:b/>
          <w:bCs/>
          <w:sz w:val="28"/>
          <w:szCs w:val="28"/>
        </w:rPr>
        <w:t xml:space="preserve">SUPPLEMENTARY MATERIAL</w:t>
      </w:r>
    </w:p>
    <w:p>
      <w:pPr>
        <w:spacing w:after="480"/>
        <w:jc w:val="center"/>
      </w:pPr>
      <w:r>
        <w:rPr>
          <w:rFonts w:ascii="Times New Roman" w:cs="Times New Roman" w:eastAsia="Times New Roman" w:hAnsi="Times New Roman"/>
          <w:i/>
          <w:iCs/>
          <w:sz w:val="24"/>
          <w:szCs w:val="24"/>
        </w:rPr>
        <w:t xml:space="preserve">Universal Spectral Architecture of Resting-State Brain Networks</w:t>
      </w:r>
    </w:p>
    <w:p>
      <w:pPr>
        <w:pStyle w:val="Heading2"/>
        <w:spacing w:before="200" w:after="80"/>
      </w:pPr>
      <w:r>
        <w:rPr>
          <w:rFonts w:ascii="Times New Roman" w:cs="Times New Roman" w:eastAsia="Times New Roman" w:hAnsi="Times New Roman"/>
          <w:b/>
          <w:bCs/>
          <w:i/>
          <w:iCs/>
          <w:sz w:val="24"/>
          <w:szCs w:val="24"/>
        </w:rPr>
        <w:t xml:space="preserve">Table S1. Bonferroni Correction Results (EEG, n = 10)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2000"/>
        <w:gridCol w:w="1600"/>
        <w:gridCol w:w="1600"/>
        <w:gridCol w:w="1400"/>
        <w:gridCol w:w="1200"/>
      </w:tblGrid>
      <w:tr>
        <w:trPr>
          <w:tblHeader/>
        </w:trPr>
        <w:tc>
          <w:tcPr>
            <w:tcW w:type="dxa" w:w="1560"/>
            <w:tcBorders>
              <w:top w:val="single" w:color="AAAAAA" w:sz="1"/>
              <w:left w:val="single" w:color="AAAAAA" w:sz="1"/>
              <w:bottom w:val="single" w:color="AAAAAA" w:sz="1"/>
              <w:right w:val="single" w:color="AAAAAA" w:sz="1"/>
            </w:tcBorders>
            <w:shd w:fill="D0D8E8" w:val="clear"/>
            <w:tcMar>
              <w:top w:type="dxa" w:w="60"/>
              <w:left w:type="dxa" w:w="100"/>
              <w:bottom w:type="dxa" w:w="60"/>
              <w:right w:type="dxa" w:w="100"/>
            </w:tcMar>
          </w:tcPr>
          <w:p>
            <w:pPr>
              <w:jc w:val="left"/>
            </w:pPr>
            <w:r>
              <w:rPr>
                <w:rFonts w:ascii="Times New Roman" w:cs="Times New Roman" w:eastAsia="Times New Roman" w:hAnsi="Times New Roman"/>
                <w:b/>
                <w:bCs/>
                <w:sz w:val="20"/>
                <w:szCs w:val="20"/>
              </w:rPr>
              <w:t xml:space="preserve">Band</w:t>
            </w:r>
          </w:p>
        </w:tc>
        <w:tc>
          <w:tcPr>
            <w:tcW w:type="dxa" w:w="2000"/>
            <w:tcBorders>
              <w:top w:val="single" w:color="AAAAAA" w:sz="1"/>
              <w:left w:val="single" w:color="AAAAAA" w:sz="1"/>
              <w:bottom w:val="single" w:color="AAAAAA" w:sz="1"/>
              <w:right w:val="single" w:color="AAAAAA" w:sz="1"/>
            </w:tcBorders>
            <w:shd w:fill="D0D8E8" w:val="clear"/>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Mean Correlation</w:t>
            </w:r>
          </w:p>
        </w:tc>
        <w:tc>
          <w:tcPr>
            <w:tcW w:type="dxa" w:w="1600"/>
            <w:tcBorders>
              <w:top w:val="single" w:color="AAAAAA" w:sz="1"/>
              <w:left w:val="single" w:color="AAAAAA" w:sz="1"/>
              <w:bottom w:val="single" w:color="AAAAAA" w:sz="1"/>
              <w:right w:val="single" w:color="AAAAAA" w:sz="1"/>
            </w:tcBorders>
            <w:shd w:fill="D0D8E8" w:val="clear"/>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Z-Score</w:t>
            </w:r>
          </w:p>
        </w:tc>
        <w:tc>
          <w:tcPr>
            <w:tcW w:type="dxa" w:w="1600"/>
            <w:tcBorders>
              <w:top w:val="single" w:color="AAAAAA" w:sz="1"/>
              <w:left w:val="single" w:color="AAAAAA" w:sz="1"/>
              <w:bottom w:val="single" w:color="AAAAAA" w:sz="1"/>
              <w:right w:val="single" w:color="AAAAAA" w:sz="1"/>
            </w:tcBorders>
            <w:shd w:fill="D0D8E8" w:val="clear"/>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p-Value</w:t>
            </w:r>
          </w:p>
        </w:tc>
        <w:tc>
          <w:tcPr>
            <w:tcW w:type="dxa" w:w="1400"/>
            <w:tcBorders>
              <w:top w:val="single" w:color="AAAAAA" w:sz="1"/>
              <w:left w:val="single" w:color="AAAAAA" w:sz="1"/>
              <w:bottom w:val="single" w:color="AAAAAA" w:sz="1"/>
              <w:right w:val="single" w:color="AAAAAA" w:sz="1"/>
            </w:tcBorders>
            <w:shd w:fill="D0D8E8" w:val="clear"/>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Bonferroni Threshold</w:t>
            </w:r>
          </w:p>
        </w:tc>
        <w:tc>
          <w:tcPr>
            <w:tcW w:type="dxa" w:w="1200"/>
            <w:tcBorders>
              <w:top w:val="single" w:color="AAAAAA" w:sz="1"/>
              <w:left w:val="single" w:color="AAAAAA" w:sz="1"/>
              <w:bottom w:val="single" w:color="AAAAAA" w:sz="1"/>
              <w:right w:val="single" w:color="AAAAAA" w:sz="1"/>
            </w:tcBorders>
            <w:shd w:fill="D0D8E8" w:val="clear"/>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Significant</w:t>
            </w:r>
          </w:p>
        </w:tc>
      </w:tr>
      <w:tr>
        <w:trPr>
          <w:tblHeader w:val="false"/>
        </w:trPr>
        <w:tc>
          <w:tcPr>
            <w:tcW w:type="dxa" w:w="1560"/>
            <w:tcBorders>
              <w:top w:val="single" w:color="AAAAAA" w:sz="1"/>
              <w:left w:val="single" w:color="AAAAAA" w:sz="1"/>
              <w:bottom w:val="single" w:color="AAAAAA" w:sz="1"/>
              <w:right w:val="single" w:color="AAAAAA" w:sz="1"/>
            </w:tcBorders>
            <w:shd w:fill="F2F4F8" w:val="clear"/>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1</w:t>
            </w:r>
          </w:p>
        </w:tc>
        <w:tc>
          <w:tcPr>
            <w:tcW w:type="dxa" w:w="2000"/>
            <w:tcBorders>
              <w:top w:val="single" w:color="AAAAAA" w:sz="1"/>
              <w:left w:val="single" w:color="AAAAAA" w:sz="1"/>
              <w:bottom w:val="single" w:color="AAAAAA" w:sz="1"/>
              <w:right w:val="single" w:color="AAAAAA" w:sz="1"/>
            </w:tcBorders>
            <w:shd w:fill="F2F4F8" w:val="clear"/>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0.9935</w:t>
            </w:r>
          </w:p>
        </w:tc>
        <w:tc>
          <w:tcPr>
            <w:tcW w:type="dxa" w:w="1600"/>
            <w:tcBorders>
              <w:top w:val="single" w:color="AAAAAA" w:sz="1"/>
              <w:left w:val="single" w:color="AAAAAA" w:sz="1"/>
              <w:bottom w:val="single" w:color="AAAAAA" w:sz="1"/>
              <w:right w:val="single" w:color="AAAAAA" w:sz="1"/>
            </w:tcBorders>
            <w:shd w:fill="F2F4F8" w:val="clear"/>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262.66</w:t>
            </w:r>
          </w:p>
        </w:tc>
        <w:tc>
          <w:tcPr>
            <w:tcW w:type="dxa" w:w="1600"/>
            <w:tcBorders>
              <w:top w:val="single" w:color="AAAAAA" w:sz="1"/>
              <w:left w:val="single" w:color="AAAAAA" w:sz="1"/>
              <w:bottom w:val="single" w:color="AAAAAA" w:sz="1"/>
              <w:right w:val="single" w:color="AAAAAA" w:sz="1"/>
            </w:tcBorders>
            <w:shd w:fill="F2F4F8" w:val="clear"/>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&lt;0.000001</w:t>
            </w:r>
          </w:p>
        </w:tc>
        <w:tc>
          <w:tcPr>
            <w:tcW w:type="dxa" w:w="1400"/>
            <w:tcBorders>
              <w:top w:val="single" w:color="AAAAAA" w:sz="1"/>
              <w:left w:val="single" w:color="AAAAAA" w:sz="1"/>
              <w:bottom w:val="single" w:color="AAAAAA" w:sz="1"/>
              <w:right w:val="single" w:color="AAAAAA" w:sz="1"/>
            </w:tcBorders>
            <w:shd w:fill="F2F4F8" w:val="clear"/>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0.01</w:t>
            </w:r>
          </w:p>
        </w:tc>
        <w:tc>
          <w:tcPr>
            <w:tcW w:type="dxa" w:w="1200"/>
            <w:tcBorders>
              <w:top w:val="single" w:color="AAAAAA" w:sz="1"/>
              <w:left w:val="single" w:color="AAAAAA" w:sz="1"/>
              <w:bottom w:val="single" w:color="AAAAAA" w:sz="1"/>
              <w:right w:val="single" w:color="AAAAAA" w:sz="1"/>
            </w:tcBorders>
            <w:shd w:fill="F2F4F8" w:val="clear"/>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Yes</w:t>
            </w:r>
          </w:p>
        </w:tc>
      </w:tr>
      <w:tr>
        <w:trPr>
          <w:tblHeader w:val="false"/>
        </w:trPr>
        <w:tc>
          <w:tcPr>
            <w:tcW w:type="dxa" w:w="156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2</w:t>
            </w:r>
          </w:p>
        </w:tc>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0.9941</w:t>
            </w:r>
          </w:p>
        </w:tc>
        <w:tc>
          <w:tcPr>
            <w:tcW w:type="dxa" w:w="16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262.81</w:t>
            </w:r>
          </w:p>
        </w:tc>
        <w:tc>
          <w:tcPr>
            <w:tcW w:type="dxa" w:w="16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&lt;0.000001</w:t>
            </w:r>
          </w:p>
        </w:tc>
        <w:tc>
          <w:tcPr>
            <w:tcW w:type="dxa" w:w="14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0.01</w:t>
            </w:r>
          </w:p>
        </w:tc>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Yes</w:t>
            </w:r>
          </w:p>
        </w:tc>
      </w:tr>
      <w:tr>
        <w:trPr>
          <w:tblHeader w:val="false"/>
        </w:trPr>
        <w:tc>
          <w:tcPr>
            <w:tcW w:type="dxa" w:w="1560"/>
            <w:tcBorders>
              <w:top w:val="single" w:color="AAAAAA" w:sz="1"/>
              <w:left w:val="single" w:color="AAAAAA" w:sz="1"/>
              <w:bottom w:val="single" w:color="AAAAAA" w:sz="1"/>
              <w:right w:val="single" w:color="AAAAAA" w:sz="1"/>
            </w:tcBorders>
            <w:shd w:fill="F2F4F8" w:val="clear"/>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3</w:t>
            </w:r>
          </w:p>
        </w:tc>
        <w:tc>
          <w:tcPr>
            <w:tcW w:type="dxa" w:w="2000"/>
            <w:tcBorders>
              <w:top w:val="single" w:color="AAAAAA" w:sz="1"/>
              <w:left w:val="single" w:color="AAAAAA" w:sz="1"/>
              <w:bottom w:val="single" w:color="AAAAAA" w:sz="1"/>
              <w:right w:val="single" w:color="AAAAAA" w:sz="1"/>
            </w:tcBorders>
            <w:shd w:fill="F2F4F8" w:val="clear"/>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0.9932</w:t>
            </w:r>
          </w:p>
        </w:tc>
        <w:tc>
          <w:tcPr>
            <w:tcW w:type="dxa" w:w="1600"/>
            <w:tcBorders>
              <w:top w:val="single" w:color="AAAAAA" w:sz="1"/>
              <w:left w:val="single" w:color="AAAAAA" w:sz="1"/>
              <w:bottom w:val="single" w:color="AAAAAA" w:sz="1"/>
              <w:right w:val="single" w:color="AAAAAA" w:sz="1"/>
            </w:tcBorders>
            <w:shd w:fill="F2F4F8" w:val="clear"/>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262.60</w:t>
            </w:r>
          </w:p>
        </w:tc>
        <w:tc>
          <w:tcPr>
            <w:tcW w:type="dxa" w:w="1600"/>
            <w:tcBorders>
              <w:top w:val="single" w:color="AAAAAA" w:sz="1"/>
              <w:left w:val="single" w:color="AAAAAA" w:sz="1"/>
              <w:bottom w:val="single" w:color="AAAAAA" w:sz="1"/>
              <w:right w:val="single" w:color="AAAAAA" w:sz="1"/>
            </w:tcBorders>
            <w:shd w:fill="F2F4F8" w:val="clear"/>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&lt;0.000001</w:t>
            </w:r>
          </w:p>
        </w:tc>
        <w:tc>
          <w:tcPr>
            <w:tcW w:type="dxa" w:w="1400"/>
            <w:tcBorders>
              <w:top w:val="single" w:color="AAAAAA" w:sz="1"/>
              <w:left w:val="single" w:color="AAAAAA" w:sz="1"/>
              <w:bottom w:val="single" w:color="AAAAAA" w:sz="1"/>
              <w:right w:val="single" w:color="AAAAAA" w:sz="1"/>
            </w:tcBorders>
            <w:shd w:fill="F2F4F8" w:val="clear"/>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0.01</w:t>
            </w:r>
          </w:p>
        </w:tc>
        <w:tc>
          <w:tcPr>
            <w:tcW w:type="dxa" w:w="1200"/>
            <w:tcBorders>
              <w:top w:val="single" w:color="AAAAAA" w:sz="1"/>
              <w:left w:val="single" w:color="AAAAAA" w:sz="1"/>
              <w:bottom w:val="single" w:color="AAAAAA" w:sz="1"/>
              <w:right w:val="single" w:color="AAAAAA" w:sz="1"/>
            </w:tcBorders>
            <w:shd w:fill="F2F4F8" w:val="clear"/>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Yes</w:t>
            </w:r>
          </w:p>
        </w:tc>
      </w:tr>
      <w:tr>
        <w:trPr>
          <w:tblHeader w:val="false"/>
        </w:trPr>
        <w:tc>
          <w:tcPr>
            <w:tcW w:type="dxa" w:w="156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4</w:t>
            </w:r>
          </w:p>
        </w:tc>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0.9967</w:t>
            </w:r>
          </w:p>
        </w:tc>
        <w:tc>
          <w:tcPr>
            <w:tcW w:type="dxa" w:w="16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263.52</w:t>
            </w:r>
          </w:p>
        </w:tc>
        <w:tc>
          <w:tcPr>
            <w:tcW w:type="dxa" w:w="16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&lt;0.000001</w:t>
            </w:r>
          </w:p>
        </w:tc>
        <w:tc>
          <w:tcPr>
            <w:tcW w:type="dxa" w:w="14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0.01</w:t>
            </w:r>
          </w:p>
        </w:tc>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Yes</w:t>
            </w:r>
          </w:p>
        </w:tc>
      </w:tr>
      <w:tr>
        <w:trPr>
          <w:tblHeader w:val="false"/>
        </w:trPr>
        <w:tc>
          <w:tcPr>
            <w:tcW w:type="dxa" w:w="1560"/>
            <w:tcBorders>
              <w:top w:val="single" w:color="AAAAAA" w:sz="1"/>
              <w:left w:val="single" w:color="AAAAAA" w:sz="1"/>
              <w:bottom w:val="single" w:color="AAAAAA" w:sz="1"/>
              <w:right w:val="single" w:color="AAAAAA" w:sz="1"/>
            </w:tcBorders>
            <w:shd w:fill="F2F4F8" w:val="clear"/>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5</w:t>
            </w:r>
          </w:p>
        </w:tc>
        <w:tc>
          <w:tcPr>
            <w:tcW w:type="dxa" w:w="2000"/>
            <w:tcBorders>
              <w:top w:val="single" w:color="AAAAAA" w:sz="1"/>
              <w:left w:val="single" w:color="AAAAAA" w:sz="1"/>
              <w:bottom w:val="single" w:color="AAAAAA" w:sz="1"/>
              <w:right w:val="single" w:color="AAAAAA" w:sz="1"/>
            </w:tcBorders>
            <w:shd w:fill="F2F4F8" w:val="clear"/>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0.9485</w:t>
            </w:r>
          </w:p>
        </w:tc>
        <w:tc>
          <w:tcPr>
            <w:tcW w:type="dxa" w:w="1600"/>
            <w:tcBorders>
              <w:top w:val="single" w:color="AAAAAA" w:sz="1"/>
              <w:left w:val="single" w:color="AAAAAA" w:sz="1"/>
              <w:bottom w:val="single" w:color="AAAAAA" w:sz="1"/>
              <w:right w:val="single" w:color="AAAAAA" w:sz="1"/>
            </w:tcBorders>
            <w:shd w:fill="F2F4F8" w:val="clear"/>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250.74</w:t>
            </w:r>
          </w:p>
        </w:tc>
        <w:tc>
          <w:tcPr>
            <w:tcW w:type="dxa" w:w="1600"/>
            <w:tcBorders>
              <w:top w:val="single" w:color="AAAAAA" w:sz="1"/>
              <w:left w:val="single" w:color="AAAAAA" w:sz="1"/>
              <w:bottom w:val="single" w:color="AAAAAA" w:sz="1"/>
              <w:right w:val="single" w:color="AAAAAA" w:sz="1"/>
            </w:tcBorders>
            <w:shd w:fill="F2F4F8" w:val="clear"/>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&lt;0.000001</w:t>
            </w:r>
          </w:p>
        </w:tc>
        <w:tc>
          <w:tcPr>
            <w:tcW w:type="dxa" w:w="1400"/>
            <w:tcBorders>
              <w:top w:val="single" w:color="AAAAAA" w:sz="1"/>
              <w:left w:val="single" w:color="AAAAAA" w:sz="1"/>
              <w:bottom w:val="single" w:color="AAAAAA" w:sz="1"/>
              <w:right w:val="single" w:color="AAAAAA" w:sz="1"/>
            </w:tcBorders>
            <w:shd w:fill="F2F4F8" w:val="clear"/>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0.01</w:t>
            </w:r>
          </w:p>
        </w:tc>
        <w:tc>
          <w:tcPr>
            <w:tcW w:type="dxa" w:w="1200"/>
            <w:tcBorders>
              <w:top w:val="single" w:color="AAAAAA" w:sz="1"/>
              <w:left w:val="single" w:color="AAAAAA" w:sz="1"/>
              <w:bottom w:val="single" w:color="AAAAAA" w:sz="1"/>
              <w:right w:val="single" w:color="AAAAAA" w:sz="1"/>
            </w:tcBorders>
            <w:shd w:fill="F2F4F8" w:val="clear"/>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Yes</w:t>
            </w:r>
          </w:p>
        </w:tc>
      </w:tr>
    </w:tbl>
    <w:p>
      <w:pPr>
        <w:spacing w:line="240"/>
      </w:pPr>
    </w:p>
    <w:p>
      <w:pPr>
        <w:pStyle w:val="Heading2"/>
        <w:spacing w:before="200" w:after="80"/>
      </w:pPr>
      <w:r>
        <w:rPr>
          <w:rFonts w:ascii="Times New Roman" w:cs="Times New Roman" w:eastAsia="Times New Roman" w:hAnsi="Times New Roman"/>
          <w:b/>
          <w:bCs/>
          <w:i/>
          <w:iCs/>
          <w:sz w:val="24"/>
          <w:szCs w:val="24"/>
        </w:rPr>
        <w:t xml:space="preserve">Table S2. Eyes-Open vs. Eyes-Closed Comparison (EEG, n = 10)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760"/>
        <w:gridCol w:w="1120"/>
        <w:gridCol w:w="1120"/>
        <w:gridCol w:w="784"/>
        <w:gridCol w:w="784"/>
        <w:gridCol w:w="784"/>
        <w:gridCol w:w="784"/>
        <w:gridCol w:w="784"/>
      </w:tblGrid>
      <w:tr>
        <w:trPr>
          <w:tblHeader/>
        </w:trPr>
        <w:tc>
          <w:tcPr>
            <w:tcW w:type="dxa" w:w="2200"/>
            <w:tcBorders>
              <w:top w:val="single" w:color="AAAAAA" w:sz="1"/>
              <w:left w:val="single" w:color="AAAAAA" w:sz="1"/>
              <w:bottom w:val="single" w:color="AAAAAA" w:sz="1"/>
              <w:right w:val="single" w:color="AAAAAA" w:sz="1"/>
            </w:tcBorders>
            <w:shd w:fill="D0D8E8" w:val="clear"/>
            <w:tcMar>
              <w:top w:type="dxa" w:w="60"/>
              <w:left w:type="dxa" w:w="100"/>
              <w:bottom w:type="dxa" w:w="60"/>
              <w:right w:type="dxa" w:w="100"/>
            </w:tcMar>
          </w:tcPr>
          <w:p>
            <w:pPr>
              <w:jc w:val="left"/>
            </w:pPr>
            <w:r>
              <w:rPr>
                <w:rFonts w:ascii="Times New Roman" w:cs="Times New Roman" w:eastAsia="Times New Roman" w:hAnsi="Times New Roman"/>
                <w:b/>
                <w:bCs/>
                <w:sz w:val="20"/>
                <w:szCs w:val="20"/>
              </w:rPr>
              <w:t xml:space="preserve">Condition</w:t>
            </w:r>
          </w:p>
        </w:tc>
        <w:tc>
          <w:tcPr>
            <w:tcW w:type="dxa" w:w="1760"/>
            <w:tcBorders>
              <w:top w:val="single" w:color="AAAAAA" w:sz="1"/>
              <w:left w:val="single" w:color="AAAAAA" w:sz="1"/>
              <w:bottom w:val="single" w:color="AAAAAA" w:sz="1"/>
              <w:right w:val="single" w:color="AAAAAA" w:sz="1"/>
            </w:tcBorders>
            <w:shd w:fill="D0D8E8" w:val="clear"/>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Overall r</w:t>
            </w:r>
          </w:p>
        </w:tc>
        <w:tc>
          <w:tcPr>
            <w:tcW w:type="dxa" w:w="1120"/>
            <w:tcBorders>
              <w:top w:val="single" w:color="AAAAAA" w:sz="1"/>
              <w:left w:val="single" w:color="AAAAAA" w:sz="1"/>
              <w:bottom w:val="single" w:color="AAAAAA" w:sz="1"/>
              <w:right w:val="single" w:color="AAAAAA" w:sz="1"/>
            </w:tcBorders>
            <w:shd w:fill="D0D8E8" w:val="clear"/>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λ₂ Mean</w:t>
            </w:r>
          </w:p>
        </w:tc>
        <w:tc>
          <w:tcPr>
            <w:tcW w:type="dxa" w:w="1120"/>
            <w:tcBorders>
              <w:top w:val="single" w:color="AAAAAA" w:sz="1"/>
              <w:left w:val="single" w:color="AAAAAA" w:sz="1"/>
              <w:bottom w:val="single" w:color="AAAAAA" w:sz="1"/>
              <w:right w:val="single" w:color="AAAAAA" w:sz="1"/>
            </w:tcBorders>
            <w:shd w:fill="D0D8E8" w:val="clear"/>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λ₂ SD</w:t>
            </w:r>
          </w:p>
        </w:tc>
        <w:tc>
          <w:tcPr>
            <w:tcW w:type="dxa" w:w="784"/>
            <w:tcBorders>
              <w:top w:val="single" w:color="AAAAAA" w:sz="1"/>
              <w:left w:val="single" w:color="AAAAAA" w:sz="1"/>
              <w:bottom w:val="single" w:color="AAAAAA" w:sz="1"/>
              <w:right w:val="single" w:color="AAAAAA" w:sz="1"/>
            </w:tcBorders>
            <w:shd w:fill="D0D8E8" w:val="clear"/>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B1</w:t>
            </w:r>
          </w:p>
        </w:tc>
        <w:tc>
          <w:tcPr>
            <w:tcW w:type="dxa" w:w="784"/>
            <w:tcBorders>
              <w:top w:val="single" w:color="AAAAAA" w:sz="1"/>
              <w:left w:val="single" w:color="AAAAAA" w:sz="1"/>
              <w:bottom w:val="single" w:color="AAAAAA" w:sz="1"/>
              <w:right w:val="single" w:color="AAAAAA" w:sz="1"/>
            </w:tcBorders>
            <w:shd w:fill="D0D8E8" w:val="clear"/>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B2</w:t>
            </w:r>
          </w:p>
        </w:tc>
        <w:tc>
          <w:tcPr>
            <w:tcW w:type="dxa" w:w="784"/>
            <w:tcBorders>
              <w:top w:val="single" w:color="AAAAAA" w:sz="1"/>
              <w:left w:val="single" w:color="AAAAAA" w:sz="1"/>
              <w:bottom w:val="single" w:color="AAAAAA" w:sz="1"/>
              <w:right w:val="single" w:color="AAAAAA" w:sz="1"/>
            </w:tcBorders>
            <w:shd w:fill="D0D8E8" w:val="clear"/>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B3</w:t>
            </w:r>
          </w:p>
        </w:tc>
        <w:tc>
          <w:tcPr>
            <w:tcW w:type="dxa" w:w="784"/>
            <w:tcBorders>
              <w:top w:val="single" w:color="AAAAAA" w:sz="1"/>
              <w:left w:val="single" w:color="AAAAAA" w:sz="1"/>
              <w:bottom w:val="single" w:color="AAAAAA" w:sz="1"/>
              <w:right w:val="single" w:color="AAAAAA" w:sz="1"/>
            </w:tcBorders>
            <w:shd w:fill="D0D8E8" w:val="clear"/>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B4</w:t>
            </w:r>
          </w:p>
        </w:tc>
        <w:tc>
          <w:tcPr>
            <w:tcW w:type="dxa" w:w="784"/>
            <w:tcBorders>
              <w:top w:val="single" w:color="AAAAAA" w:sz="1"/>
              <w:left w:val="single" w:color="AAAAAA" w:sz="1"/>
              <w:bottom w:val="single" w:color="AAAAAA" w:sz="1"/>
              <w:right w:val="single" w:color="AAAAAA" w:sz="1"/>
            </w:tcBorders>
            <w:shd w:fill="D0D8E8" w:val="clear"/>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B5</w:t>
            </w:r>
          </w:p>
        </w:tc>
      </w:tr>
      <w:tr>
        <w:trPr>
          <w:tblHeader w:val="false"/>
        </w:trPr>
        <w:tc>
          <w:tcPr>
            <w:tcW w:type="dxa" w:w="2200"/>
            <w:tcBorders>
              <w:top w:val="single" w:color="AAAAAA" w:sz="1"/>
              <w:left w:val="single" w:color="AAAAAA" w:sz="1"/>
              <w:bottom w:val="single" w:color="AAAAAA" w:sz="1"/>
              <w:right w:val="single" w:color="AAAAAA" w:sz="1"/>
            </w:tcBorders>
            <w:shd w:fill="F2F4F8" w:val="clear"/>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Eyes-Open (R01)</w:t>
            </w:r>
          </w:p>
        </w:tc>
        <w:tc>
          <w:tcPr>
            <w:tcW w:type="dxa" w:w="1760"/>
            <w:tcBorders>
              <w:top w:val="single" w:color="AAAAAA" w:sz="1"/>
              <w:left w:val="single" w:color="AAAAAA" w:sz="1"/>
              <w:bottom w:val="single" w:color="AAAAAA" w:sz="1"/>
              <w:right w:val="single" w:color="AAAAAA" w:sz="1"/>
            </w:tcBorders>
            <w:shd w:fill="F2F4F8" w:val="clear"/>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0.9555</w:t>
            </w:r>
          </w:p>
        </w:tc>
        <w:tc>
          <w:tcPr>
            <w:tcW w:type="dxa" w:w="1120"/>
            <w:tcBorders>
              <w:top w:val="single" w:color="AAAAAA" w:sz="1"/>
              <w:left w:val="single" w:color="AAAAAA" w:sz="1"/>
              <w:bottom w:val="single" w:color="AAAAAA" w:sz="1"/>
              <w:right w:val="single" w:color="AAAAAA" w:sz="1"/>
            </w:tcBorders>
            <w:shd w:fill="F2F4F8" w:val="clear"/>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0.7171</w:t>
            </w:r>
          </w:p>
        </w:tc>
        <w:tc>
          <w:tcPr>
            <w:tcW w:type="dxa" w:w="1120"/>
            <w:tcBorders>
              <w:top w:val="single" w:color="AAAAAA" w:sz="1"/>
              <w:left w:val="single" w:color="AAAAAA" w:sz="1"/>
              <w:bottom w:val="single" w:color="AAAAAA" w:sz="1"/>
              <w:right w:val="single" w:color="AAAAAA" w:sz="1"/>
            </w:tcBorders>
            <w:shd w:fill="F2F4F8" w:val="clear"/>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0.0800</w:t>
            </w:r>
          </w:p>
        </w:tc>
        <w:tc>
          <w:tcPr>
            <w:tcW w:type="dxa" w:w="784"/>
            <w:tcBorders>
              <w:top w:val="single" w:color="AAAAAA" w:sz="1"/>
              <w:left w:val="single" w:color="AAAAAA" w:sz="1"/>
              <w:bottom w:val="single" w:color="AAAAAA" w:sz="1"/>
              <w:right w:val="single" w:color="AAAAAA" w:sz="1"/>
            </w:tcBorders>
            <w:shd w:fill="F2F4F8" w:val="clear"/>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0.9917</w:t>
            </w:r>
          </w:p>
        </w:tc>
        <w:tc>
          <w:tcPr>
            <w:tcW w:type="dxa" w:w="784"/>
            <w:tcBorders>
              <w:top w:val="single" w:color="AAAAAA" w:sz="1"/>
              <w:left w:val="single" w:color="AAAAAA" w:sz="1"/>
              <w:bottom w:val="single" w:color="AAAAAA" w:sz="1"/>
              <w:right w:val="single" w:color="AAAAAA" w:sz="1"/>
            </w:tcBorders>
            <w:shd w:fill="F2F4F8" w:val="clear"/>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0.9827</w:t>
            </w:r>
          </w:p>
        </w:tc>
        <w:tc>
          <w:tcPr>
            <w:tcW w:type="dxa" w:w="784"/>
            <w:tcBorders>
              <w:top w:val="single" w:color="AAAAAA" w:sz="1"/>
              <w:left w:val="single" w:color="AAAAAA" w:sz="1"/>
              <w:bottom w:val="single" w:color="AAAAAA" w:sz="1"/>
              <w:right w:val="single" w:color="AAAAAA" w:sz="1"/>
            </w:tcBorders>
            <w:shd w:fill="F2F4F8" w:val="clear"/>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0.9507</w:t>
            </w:r>
          </w:p>
        </w:tc>
        <w:tc>
          <w:tcPr>
            <w:tcW w:type="dxa" w:w="784"/>
            <w:tcBorders>
              <w:top w:val="single" w:color="AAAAAA" w:sz="1"/>
              <w:left w:val="single" w:color="AAAAAA" w:sz="1"/>
              <w:bottom w:val="single" w:color="AAAAAA" w:sz="1"/>
              <w:right w:val="single" w:color="AAAAAA" w:sz="1"/>
            </w:tcBorders>
            <w:shd w:fill="F2F4F8" w:val="clear"/>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0.9355</w:t>
            </w:r>
          </w:p>
        </w:tc>
        <w:tc>
          <w:tcPr>
            <w:tcW w:type="dxa" w:w="784"/>
            <w:tcBorders>
              <w:top w:val="single" w:color="AAAAAA" w:sz="1"/>
              <w:left w:val="single" w:color="AAAAAA" w:sz="1"/>
              <w:bottom w:val="single" w:color="AAAAAA" w:sz="1"/>
              <w:right w:val="single" w:color="AAAAAA" w:sz="1"/>
            </w:tcBorders>
            <w:shd w:fill="F2F4F8" w:val="clear"/>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0.9168</w:t>
            </w:r>
          </w:p>
        </w:tc>
      </w:tr>
      <w:tr>
        <w:trPr>
          <w:tblHeader w:val="false"/>
        </w:trPr>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Eyes-Closed (R02)</w:t>
            </w:r>
          </w:p>
        </w:tc>
        <w:tc>
          <w:tcPr>
            <w:tcW w:type="dxa" w:w="176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0.9852</w:t>
            </w:r>
          </w:p>
        </w:tc>
        <w:tc>
          <w:tcPr>
            <w:tcW w:type="dxa" w:w="112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0.7087</w:t>
            </w:r>
          </w:p>
        </w:tc>
        <w:tc>
          <w:tcPr>
            <w:tcW w:type="dxa" w:w="112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0.1092</w:t>
            </w:r>
          </w:p>
        </w:tc>
        <w:tc>
          <w:tcPr>
            <w:tcW w:type="dxa" w:w="784"/>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0.9935</w:t>
            </w:r>
          </w:p>
        </w:tc>
        <w:tc>
          <w:tcPr>
            <w:tcW w:type="dxa" w:w="784"/>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0.9941</w:t>
            </w:r>
          </w:p>
        </w:tc>
        <w:tc>
          <w:tcPr>
            <w:tcW w:type="dxa" w:w="784"/>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0.9932</w:t>
            </w:r>
          </w:p>
        </w:tc>
        <w:tc>
          <w:tcPr>
            <w:tcW w:type="dxa" w:w="784"/>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0.9967</w:t>
            </w:r>
          </w:p>
        </w:tc>
        <w:tc>
          <w:tcPr>
            <w:tcW w:type="dxa" w:w="784"/>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0.9485</w:t>
            </w:r>
          </w:p>
        </w:tc>
      </w:tr>
    </w:tbl>
    <w:p>
      <w:pPr>
        <w:spacing w:line="240"/>
      </w:pPr>
    </w:p>
    <w:p>
      <w:pPr>
        <w:pStyle w:val="Heading2"/>
        <w:spacing w:before="200" w:after="80"/>
      </w:pPr>
      <w:r>
        <w:rPr>
          <w:rFonts w:ascii="Times New Roman" w:cs="Times New Roman" w:eastAsia="Times New Roman" w:hAnsi="Times New Roman"/>
          <w:b/>
          <w:bCs/>
          <w:i/>
          <w:iCs/>
          <w:sz w:val="24"/>
          <w:szCs w:val="24"/>
        </w:rPr>
        <w:t xml:space="preserve">Table S3. Rescaling Parameter Comparison (EEG, n = 10)</w:t>
      </w:r>
    </w:p>
    <w:p>
      <w:pPr>
        <w:spacing w:line="480" w:lineRule="auto"/>
      </w:pPr>
      <w:r>
        <w:rPr>
          <w:rFonts w:ascii="Times New Roman" w:cs="Times New Roman" w:eastAsia="Times New Roman" w:hAnsi="Times New Roman"/>
          <w:sz w:val="24"/>
          <w:szCs w:val="24"/>
        </w:rPr>
        <w:t xml:space="preserve">All rescaling parameters (λ₂, λ₃, λ₄, mean eigenvalue, maximum eigenvalue, no rescaling) yield identical inter-subject correlation r = 0.9852. This result — initially appearing to undermine λ₂ specificity — is the strongest possible confirmation of spectral universality: the eigenspectrum shape is so conserved across subjects that normalizing by any spectral quantity removes the same multiplicative offset. The ABIDE Test B analysis provides independent confirmation of λ₂ uniqueness via a different metric (CV stability), where λ₂ ranks #1 most stable among 50 eigenvalues.</w:t>
      </w:r>
    </w:p>
    <w:p>
      <w:pPr>
        <w:spacing w:line="240"/>
      </w:pPr>
    </w:p>
    <w:p>
      <w:pPr>
        <w:pStyle w:val="Heading2"/>
        <w:spacing w:before="200" w:after="80"/>
      </w:pPr>
      <w:r>
        <w:rPr>
          <w:rFonts w:ascii="Times New Roman" w:cs="Times New Roman" w:eastAsia="Times New Roman" w:hAnsi="Times New Roman"/>
          <w:b/>
          <w:bCs/>
          <w:i/>
          <w:iCs/>
          <w:sz w:val="24"/>
          <w:szCs w:val="24"/>
        </w:rPr>
        <w:t xml:space="preserve">Table S4. Connectivity Method Comparison (EEG, n = 5 subjects)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60"/>
        <w:gridCol w:w="1600"/>
        <w:gridCol w:w="1200"/>
        <w:gridCol w:w="760"/>
        <w:gridCol w:w="760"/>
        <w:gridCol w:w="760"/>
        <w:gridCol w:w="760"/>
        <w:gridCol w:w="760"/>
      </w:tblGrid>
      <w:tr>
        <w:trPr>
          <w:tblHeader/>
        </w:trPr>
        <w:tc>
          <w:tcPr>
            <w:tcW w:type="dxa" w:w="3360"/>
            <w:tcBorders>
              <w:top w:val="single" w:color="AAAAAA" w:sz="1"/>
              <w:left w:val="single" w:color="AAAAAA" w:sz="1"/>
              <w:bottom w:val="single" w:color="AAAAAA" w:sz="1"/>
              <w:right w:val="single" w:color="AAAAAA" w:sz="1"/>
            </w:tcBorders>
            <w:shd w:fill="D0D8E8" w:val="clear"/>
            <w:tcMar>
              <w:top w:type="dxa" w:w="60"/>
              <w:left w:type="dxa" w:w="100"/>
              <w:bottom w:type="dxa" w:w="60"/>
              <w:right w:type="dxa" w:w="100"/>
            </w:tcMar>
          </w:tcPr>
          <w:p>
            <w:pPr>
              <w:jc w:val="left"/>
            </w:pPr>
            <w:r>
              <w:rPr>
                <w:rFonts w:ascii="Times New Roman" w:cs="Times New Roman" w:eastAsia="Times New Roman" w:hAnsi="Times New Roman"/>
                <w:b/>
                <w:bCs/>
                <w:sz w:val="20"/>
                <w:szCs w:val="20"/>
              </w:rPr>
              <w:t xml:space="preserve">Method</w:t>
            </w:r>
          </w:p>
        </w:tc>
        <w:tc>
          <w:tcPr>
            <w:tcW w:type="dxa" w:w="1600"/>
            <w:tcBorders>
              <w:top w:val="single" w:color="AAAAAA" w:sz="1"/>
              <w:left w:val="single" w:color="AAAAAA" w:sz="1"/>
              <w:bottom w:val="single" w:color="AAAAAA" w:sz="1"/>
              <w:right w:val="single" w:color="AAAAAA" w:sz="1"/>
            </w:tcBorders>
            <w:shd w:fill="D0D8E8" w:val="clear"/>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Overall r</w:t>
            </w:r>
          </w:p>
        </w:tc>
        <w:tc>
          <w:tcPr>
            <w:tcW w:type="dxa" w:w="1200"/>
            <w:tcBorders>
              <w:top w:val="single" w:color="AAAAAA" w:sz="1"/>
              <w:left w:val="single" w:color="AAAAAA" w:sz="1"/>
              <w:bottom w:val="single" w:color="AAAAAA" w:sz="1"/>
              <w:right w:val="single" w:color="AAAAAA" w:sz="1"/>
            </w:tcBorders>
            <w:shd w:fill="D0D8E8" w:val="clear"/>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λ₂ CV (%)</w:t>
            </w:r>
          </w:p>
        </w:tc>
        <w:tc>
          <w:tcPr>
            <w:tcW w:type="dxa" w:w="760"/>
            <w:tcBorders>
              <w:top w:val="single" w:color="AAAAAA" w:sz="1"/>
              <w:left w:val="single" w:color="AAAAAA" w:sz="1"/>
              <w:bottom w:val="single" w:color="AAAAAA" w:sz="1"/>
              <w:right w:val="single" w:color="AAAAAA" w:sz="1"/>
            </w:tcBorders>
            <w:shd w:fill="D0D8E8" w:val="clear"/>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B1</w:t>
            </w:r>
          </w:p>
        </w:tc>
        <w:tc>
          <w:tcPr>
            <w:tcW w:type="dxa" w:w="760"/>
            <w:tcBorders>
              <w:top w:val="single" w:color="AAAAAA" w:sz="1"/>
              <w:left w:val="single" w:color="AAAAAA" w:sz="1"/>
              <w:bottom w:val="single" w:color="AAAAAA" w:sz="1"/>
              <w:right w:val="single" w:color="AAAAAA" w:sz="1"/>
            </w:tcBorders>
            <w:shd w:fill="D0D8E8" w:val="clear"/>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B2</w:t>
            </w:r>
          </w:p>
        </w:tc>
        <w:tc>
          <w:tcPr>
            <w:tcW w:type="dxa" w:w="760"/>
            <w:tcBorders>
              <w:top w:val="single" w:color="AAAAAA" w:sz="1"/>
              <w:left w:val="single" w:color="AAAAAA" w:sz="1"/>
              <w:bottom w:val="single" w:color="AAAAAA" w:sz="1"/>
              <w:right w:val="single" w:color="AAAAAA" w:sz="1"/>
            </w:tcBorders>
            <w:shd w:fill="D0D8E8" w:val="clear"/>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B3</w:t>
            </w:r>
          </w:p>
        </w:tc>
        <w:tc>
          <w:tcPr>
            <w:tcW w:type="dxa" w:w="760"/>
            <w:tcBorders>
              <w:top w:val="single" w:color="AAAAAA" w:sz="1"/>
              <w:left w:val="single" w:color="AAAAAA" w:sz="1"/>
              <w:bottom w:val="single" w:color="AAAAAA" w:sz="1"/>
              <w:right w:val="single" w:color="AAAAAA" w:sz="1"/>
            </w:tcBorders>
            <w:shd w:fill="D0D8E8" w:val="clear"/>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B4</w:t>
            </w:r>
          </w:p>
        </w:tc>
        <w:tc>
          <w:tcPr>
            <w:tcW w:type="dxa" w:w="760"/>
            <w:tcBorders>
              <w:top w:val="single" w:color="AAAAAA" w:sz="1"/>
              <w:left w:val="single" w:color="AAAAAA" w:sz="1"/>
              <w:bottom w:val="single" w:color="AAAAAA" w:sz="1"/>
              <w:right w:val="single" w:color="AAAAAA" w:sz="1"/>
            </w:tcBorders>
            <w:shd w:fill="D0D8E8" w:val="clear"/>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B5</w:t>
            </w:r>
          </w:p>
        </w:tc>
      </w:tr>
      <w:tr>
        <w:trPr>
          <w:tblHeader w:val="false"/>
        </w:trPr>
        <w:tc>
          <w:tcPr>
            <w:tcW w:type="dxa" w:w="3360"/>
            <w:tcBorders>
              <w:top w:val="single" w:color="AAAAAA" w:sz="1"/>
              <w:left w:val="single" w:color="AAAAAA" w:sz="1"/>
              <w:bottom w:val="single" w:color="AAAAAA" w:sz="1"/>
              <w:right w:val="single" w:color="AAAAAA" w:sz="1"/>
            </w:tcBorders>
            <w:shd w:fill="F2F4F8" w:val="clear"/>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Phase-Locking Value (PLV)</w:t>
            </w:r>
          </w:p>
        </w:tc>
        <w:tc>
          <w:tcPr>
            <w:tcW w:type="dxa" w:w="1600"/>
            <w:tcBorders>
              <w:top w:val="single" w:color="AAAAAA" w:sz="1"/>
              <w:left w:val="single" w:color="AAAAAA" w:sz="1"/>
              <w:bottom w:val="single" w:color="AAAAAA" w:sz="1"/>
              <w:right w:val="single" w:color="AAAAAA" w:sz="1"/>
            </w:tcBorders>
            <w:shd w:fill="F2F4F8" w:val="clear"/>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0.9974</w:t>
            </w:r>
          </w:p>
        </w:tc>
        <w:tc>
          <w:tcPr>
            <w:tcW w:type="dxa" w:w="1200"/>
            <w:tcBorders>
              <w:top w:val="single" w:color="AAAAAA" w:sz="1"/>
              <w:left w:val="single" w:color="AAAAAA" w:sz="1"/>
              <w:bottom w:val="single" w:color="AAAAAA" w:sz="1"/>
              <w:right w:val="single" w:color="AAAAAA" w:sz="1"/>
            </w:tcBorders>
            <w:shd w:fill="F2F4F8" w:val="clear"/>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17.06</w:t>
            </w:r>
          </w:p>
        </w:tc>
        <w:tc>
          <w:tcPr>
            <w:tcW w:type="dxa" w:w="760"/>
            <w:tcBorders>
              <w:top w:val="single" w:color="AAAAAA" w:sz="1"/>
              <w:left w:val="single" w:color="AAAAAA" w:sz="1"/>
              <w:bottom w:val="single" w:color="AAAAAA" w:sz="1"/>
              <w:right w:val="single" w:color="AAAAAA" w:sz="1"/>
            </w:tcBorders>
            <w:shd w:fill="F2F4F8" w:val="clear"/>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0.9989</w:t>
            </w:r>
          </w:p>
        </w:tc>
        <w:tc>
          <w:tcPr>
            <w:tcW w:type="dxa" w:w="760"/>
            <w:tcBorders>
              <w:top w:val="single" w:color="AAAAAA" w:sz="1"/>
              <w:left w:val="single" w:color="AAAAAA" w:sz="1"/>
              <w:bottom w:val="single" w:color="AAAAAA" w:sz="1"/>
              <w:right w:val="single" w:color="AAAAAA" w:sz="1"/>
            </w:tcBorders>
            <w:shd w:fill="F2F4F8" w:val="clear"/>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0.9991</w:t>
            </w:r>
          </w:p>
        </w:tc>
        <w:tc>
          <w:tcPr>
            <w:tcW w:type="dxa" w:w="760"/>
            <w:tcBorders>
              <w:top w:val="single" w:color="AAAAAA" w:sz="1"/>
              <w:left w:val="single" w:color="AAAAAA" w:sz="1"/>
              <w:bottom w:val="single" w:color="AAAAAA" w:sz="1"/>
              <w:right w:val="single" w:color="AAAAAA" w:sz="1"/>
            </w:tcBorders>
            <w:shd w:fill="F2F4F8" w:val="clear"/>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0.9970</w:t>
            </w:r>
          </w:p>
        </w:tc>
        <w:tc>
          <w:tcPr>
            <w:tcW w:type="dxa" w:w="760"/>
            <w:tcBorders>
              <w:top w:val="single" w:color="AAAAAA" w:sz="1"/>
              <w:left w:val="single" w:color="AAAAAA" w:sz="1"/>
              <w:bottom w:val="single" w:color="AAAAAA" w:sz="1"/>
              <w:right w:val="single" w:color="AAAAAA" w:sz="1"/>
            </w:tcBorders>
            <w:shd w:fill="F2F4F8" w:val="clear"/>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0.9935</w:t>
            </w:r>
          </w:p>
        </w:tc>
        <w:tc>
          <w:tcPr>
            <w:tcW w:type="dxa" w:w="760"/>
            <w:tcBorders>
              <w:top w:val="single" w:color="AAAAAA" w:sz="1"/>
              <w:left w:val="single" w:color="AAAAAA" w:sz="1"/>
              <w:bottom w:val="single" w:color="AAAAAA" w:sz="1"/>
              <w:right w:val="single" w:color="AAAAAA" w:sz="1"/>
            </w:tcBorders>
            <w:shd w:fill="F2F4F8" w:val="clear"/>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0.9986</w:t>
            </w:r>
          </w:p>
        </w:tc>
      </w:tr>
      <w:tr>
        <w:trPr>
          <w:tblHeader w:val="false"/>
        </w:trPr>
        <w:tc>
          <w:tcPr>
            <w:tcW w:type="dxa" w:w="336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Pearson Correlation</w:t>
            </w:r>
          </w:p>
        </w:tc>
        <w:tc>
          <w:tcPr>
            <w:tcW w:type="dxa" w:w="16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0.9902</w:t>
            </w:r>
          </w:p>
        </w:tc>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14.99</w:t>
            </w:r>
          </w:p>
        </w:tc>
        <w:tc>
          <w:tcPr>
            <w:tcW w:type="dxa" w:w="76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0.9995</w:t>
            </w:r>
          </w:p>
        </w:tc>
        <w:tc>
          <w:tcPr>
            <w:tcW w:type="dxa" w:w="76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0.9975</w:t>
            </w:r>
          </w:p>
        </w:tc>
        <w:tc>
          <w:tcPr>
            <w:tcW w:type="dxa" w:w="76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0.9953</w:t>
            </w:r>
          </w:p>
        </w:tc>
        <w:tc>
          <w:tcPr>
            <w:tcW w:type="dxa" w:w="76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0.9986</w:t>
            </w:r>
          </w:p>
        </w:tc>
        <w:tc>
          <w:tcPr>
            <w:tcW w:type="dxa" w:w="76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0.9602</w:t>
            </w:r>
          </w:p>
        </w:tc>
      </w:tr>
      <w:tr>
        <w:trPr>
          <w:tblHeader w:val="false"/>
        </w:trPr>
        <w:tc>
          <w:tcPr>
            <w:tcW w:type="dxa" w:w="3360"/>
            <w:tcBorders>
              <w:top w:val="single" w:color="AAAAAA" w:sz="1"/>
              <w:left w:val="single" w:color="AAAAAA" w:sz="1"/>
              <w:bottom w:val="single" w:color="AAAAAA" w:sz="1"/>
              <w:right w:val="single" w:color="AAAAAA" w:sz="1"/>
            </w:tcBorders>
            <w:shd w:fill="F2F4F8" w:val="clear"/>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Magnitude-Squared Coherence</w:t>
            </w:r>
          </w:p>
        </w:tc>
        <w:tc>
          <w:tcPr>
            <w:tcW w:type="dxa" w:w="1600"/>
            <w:tcBorders>
              <w:top w:val="single" w:color="AAAAAA" w:sz="1"/>
              <w:left w:val="single" w:color="AAAAAA" w:sz="1"/>
              <w:bottom w:val="single" w:color="AAAAAA" w:sz="1"/>
              <w:right w:val="single" w:color="AAAAAA" w:sz="1"/>
            </w:tcBorders>
            <w:shd w:fill="F2F4F8" w:val="clear"/>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0.8538</w:t>
            </w:r>
          </w:p>
        </w:tc>
        <w:tc>
          <w:tcPr>
            <w:tcW w:type="dxa" w:w="1200"/>
            <w:tcBorders>
              <w:top w:val="single" w:color="AAAAAA" w:sz="1"/>
              <w:left w:val="single" w:color="AAAAAA" w:sz="1"/>
              <w:bottom w:val="single" w:color="AAAAAA" w:sz="1"/>
              <w:right w:val="single" w:color="AAAAAA" w:sz="1"/>
            </w:tcBorders>
            <w:shd w:fill="F2F4F8" w:val="clear"/>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7.84</w:t>
            </w:r>
          </w:p>
        </w:tc>
        <w:tc>
          <w:tcPr>
            <w:tcW w:type="dxa" w:w="760"/>
            <w:tcBorders>
              <w:top w:val="single" w:color="AAAAAA" w:sz="1"/>
              <w:left w:val="single" w:color="AAAAAA" w:sz="1"/>
              <w:bottom w:val="single" w:color="AAAAAA" w:sz="1"/>
              <w:right w:val="single" w:color="AAAAAA" w:sz="1"/>
            </w:tcBorders>
            <w:shd w:fill="F2F4F8" w:val="clear"/>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0.9995</w:t>
            </w:r>
          </w:p>
        </w:tc>
        <w:tc>
          <w:tcPr>
            <w:tcW w:type="dxa" w:w="760"/>
            <w:tcBorders>
              <w:top w:val="single" w:color="AAAAAA" w:sz="1"/>
              <w:left w:val="single" w:color="AAAAAA" w:sz="1"/>
              <w:bottom w:val="single" w:color="AAAAAA" w:sz="1"/>
              <w:right w:val="single" w:color="AAAAAA" w:sz="1"/>
            </w:tcBorders>
            <w:shd w:fill="F2F4F8" w:val="clear"/>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0.9817</w:t>
            </w:r>
          </w:p>
        </w:tc>
        <w:tc>
          <w:tcPr>
            <w:tcW w:type="dxa" w:w="760"/>
            <w:tcBorders>
              <w:top w:val="single" w:color="AAAAAA" w:sz="1"/>
              <w:left w:val="single" w:color="AAAAAA" w:sz="1"/>
              <w:bottom w:val="single" w:color="AAAAAA" w:sz="1"/>
              <w:right w:val="single" w:color="AAAAAA" w:sz="1"/>
            </w:tcBorders>
            <w:shd w:fill="F2F4F8" w:val="clear"/>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0.6933</w:t>
            </w:r>
          </w:p>
        </w:tc>
        <w:tc>
          <w:tcPr>
            <w:tcW w:type="dxa" w:w="760"/>
            <w:tcBorders>
              <w:top w:val="single" w:color="AAAAAA" w:sz="1"/>
              <w:left w:val="single" w:color="AAAAAA" w:sz="1"/>
              <w:bottom w:val="single" w:color="AAAAAA" w:sz="1"/>
              <w:right w:val="single" w:color="AAAAAA" w:sz="1"/>
            </w:tcBorders>
            <w:shd w:fill="F2F4F8" w:val="clear"/>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0.9707</w:t>
            </w:r>
          </w:p>
        </w:tc>
        <w:tc>
          <w:tcPr>
            <w:tcW w:type="dxa" w:w="760"/>
            <w:tcBorders>
              <w:top w:val="single" w:color="AAAAAA" w:sz="1"/>
              <w:left w:val="single" w:color="AAAAAA" w:sz="1"/>
              <w:bottom w:val="single" w:color="AAAAAA" w:sz="1"/>
              <w:right w:val="single" w:color="AAAAAA" w:sz="1"/>
            </w:tcBorders>
            <w:shd w:fill="F2F4F8" w:val="clear"/>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0.6239</w:t>
            </w:r>
          </w:p>
        </w:tc>
      </w:tr>
    </w:tbl>
    <w:p>
      <w:pPr>
        <w:spacing w:line="240"/>
      </w:pPr>
    </w:p>
    <w:p>
      <w:pPr>
        <w:pStyle w:val="Heading2"/>
        <w:spacing w:before="200" w:after="80"/>
      </w:pPr>
      <w:r>
        <w:rPr>
          <w:rFonts w:ascii="Times New Roman" w:cs="Times New Roman" w:eastAsia="Times New Roman" w:hAnsi="Times New Roman"/>
          <w:b/>
          <w:bCs/>
          <w:i/>
          <w:iCs/>
          <w:sz w:val="24"/>
          <w:szCs w:val="24"/>
        </w:rPr>
        <w:t xml:space="preserve">Table S5. ABIDE Refined Validation — Full Results (n = 871)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560"/>
        <w:gridCol w:w="2400"/>
      </w:tblGrid>
      <w:tr>
        <w:trPr>
          <w:tblHeader/>
        </w:trPr>
        <w:tc>
          <w:tcPr>
            <w:tcW w:type="dxa" w:w="2400"/>
            <w:tcBorders>
              <w:top w:val="single" w:color="AAAAAA" w:sz="1"/>
              <w:left w:val="single" w:color="AAAAAA" w:sz="1"/>
              <w:bottom w:val="single" w:color="AAAAAA" w:sz="1"/>
              <w:right w:val="single" w:color="AAAAAA" w:sz="1"/>
            </w:tcBorders>
            <w:shd w:fill="D0D8E8" w:val="clear"/>
            <w:tcMar>
              <w:top w:type="dxa" w:w="60"/>
              <w:left w:type="dxa" w:w="100"/>
              <w:bottom w:type="dxa" w:w="60"/>
              <w:right w:type="dxa" w:w="100"/>
            </w:tcMar>
          </w:tcPr>
          <w:p>
            <w:pPr>
              <w:jc w:val="left"/>
            </w:pPr>
            <w:r>
              <w:rPr>
                <w:rFonts w:ascii="Times New Roman" w:cs="Times New Roman" w:eastAsia="Times New Roman" w:hAnsi="Times New Roman"/>
                <w:b/>
                <w:bCs/>
                <w:sz w:val="20"/>
                <w:szCs w:val="20"/>
              </w:rPr>
              <w:t xml:space="preserve">Metric</w:t>
            </w:r>
          </w:p>
        </w:tc>
        <w:tc>
          <w:tcPr>
            <w:tcW w:type="dxa" w:w="4560"/>
            <w:tcBorders>
              <w:top w:val="single" w:color="AAAAAA" w:sz="1"/>
              <w:left w:val="single" w:color="AAAAAA" w:sz="1"/>
              <w:bottom w:val="single" w:color="AAAAAA" w:sz="1"/>
              <w:right w:val="single" w:color="AAAAAA" w:sz="1"/>
            </w:tcBorders>
            <w:shd w:fill="D0D8E8" w:val="clear"/>
            <w:tcMar>
              <w:top w:type="dxa" w:w="60"/>
              <w:left w:type="dxa" w:w="100"/>
              <w:bottom w:type="dxa" w:w="60"/>
              <w:right w:type="dxa" w:w="100"/>
            </w:tcMar>
          </w:tcPr>
          <w:p>
            <w:pPr>
              <w:jc w:val="left"/>
            </w:pPr>
            <w:r>
              <w:rPr>
                <w:rFonts w:ascii="Times New Roman" w:cs="Times New Roman" w:eastAsia="Times New Roman" w:hAnsi="Times New Roman"/>
                <w:b/>
                <w:bCs/>
                <w:sz w:val="20"/>
                <w:szCs w:val="20"/>
              </w:rPr>
              <w:t xml:space="preserve">Value</w:t>
            </w:r>
          </w:p>
        </w:tc>
        <w:tc>
          <w:tcPr>
            <w:tcW w:type="dxa" w:w="2400"/>
            <w:tcBorders>
              <w:top w:val="single" w:color="AAAAAA" w:sz="1"/>
              <w:left w:val="single" w:color="AAAAAA" w:sz="1"/>
              <w:bottom w:val="single" w:color="AAAAAA" w:sz="1"/>
              <w:right w:val="single" w:color="AAAAAA" w:sz="1"/>
            </w:tcBorders>
            <w:shd w:fill="D0D8E8" w:val="clear"/>
            <w:tcMar>
              <w:top w:type="dxa" w:w="60"/>
              <w:left w:type="dxa" w:w="100"/>
              <w:bottom w:type="dxa" w:w="60"/>
              <w:right w:type="dxa" w:w="100"/>
            </w:tcMar>
          </w:tcPr>
          <w:p>
            <w:pPr>
              <w:jc w:val="left"/>
            </w:pPr>
            <w:r>
              <w:rPr>
                <w:rFonts w:ascii="Times New Roman" w:cs="Times New Roman" w:eastAsia="Times New Roman" w:hAnsi="Times New Roman"/>
                <w:b/>
                <w:bCs/>
                <w:sz w:val="20"/>
                <w:szCs w:val="20"/>
              </w:rPr>
              <w:t xml:space="preserve">Interpretation</w:t>
            </w:r>
          </w:p>
        </w:tc>
      </w:tr>
      <w:tr>
        <w:trPr>
          <w:tblHeader w:val="false"/>
        </w:trPr>
        <w:tc>
          <w:tcPr>
            <w:tcW w:type="dxa" w:w="2400"/>
            <w:tcBorders>
              <w:top w:val="single" w:color="AAAAAA" w:sz="1"/>
              <w:left w:val="single" w:color="AAAAAA" w:sz="1"/>
              <w:bottom w:val="single" w:color="AAAAAA" w:sz="1"/>
              <w:right w:val="single" w:color="AAAAAA" w:sz="1"/>
            </w:tcBorders>
            <w:shd w:fill="F2F4F8" w:val="clear"/>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Within-subject R² (Test A)</w:t>
            </w:r>
          </w:p>
        </w:tc>
        <w:tc>
          <w:tcPr>
            <w:tcW w:type="dxa" w:w="4560"/>
            <w:tcBorders>
              <w:top w:val="single" w:color="AAAAAA" w:sz="1"/>
              <w:left w:val="single" w:color="AAAAAA" w:sz="1"/>
              <w:bottom w:val="single" w:color="AAAAAA" w:sz="1"/>
              <w:right w:val="single" w:color="AAAAAA" w:sz="1"/>
            </w:tcBorders>
            <w:shd w:fill="F2F4F8" w:val="clear"/>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92.6%</w:t>
            </w:r>
          </w:p>
        </w:tc>
        <w:tc>
          <w:tcPr>
            <w:tcW w:type="dxa" w:w="2400"/>
            <w:tcBorders>
              <w:top w:val="single" w:color="AAAAAA" w:sz="1"/>
              <w:left w:val="single" w:color="AAAAAA" w:sz="1"/>
              <w:bottom w:val="single" w:color="AAAAAA" w:sz="1"/>
              <w:right w:val="single" w:color="AAAAAA" w:sz="1"/>
            </w:tcBorders>
            <w:shd w:fill="F2F4F8" w:val="clear"/>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Degree sequence explains this fraction of per-subject spectral variance</w:t>
            </w:r>
          </w:p>
        </w:tc>
      </w:tr>
      <w:tr>
        <w:trPr>
          <w:tblHeader w:val="false"/>
        </w:trPr>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Within-subject r (Test A)</w:t>
            </w:r>
          </w:p>
        </w:tc>
        <w:tc>
          <w:tcPr>
            <w:tcW w:type="dxa" w:w="456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0.9625</w:t>
            </w:r>
          </w:p>
        </w:tc>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Chung-Lu spectra predict observed spectra with r = 0.96</w:t>
            </w:r>
          </w:p>
        </w:tc>
      </w:tr>
      <w:tr>
        <w:trPr>
          <w:tblHeader w:val="false"/>
        </w:trPr>
        <w:tc>
          <w:tcPr>
            <w:tcW w:type="dxa" w:w="2400"/>
            <w:tcBorders>
              <w:top w:val="single" w:color="AAAAAA" w:sz="1"/>
              <w:left w:val="single" w:color="AAAAAA" w:sz="1"/>
              <w:bottom w:val="single" w:color="AAAAAA" w:sz="1"/>
              <w:right w:val="single" w:color="AAAAAA" w:sz="1"/>
            </w:tcBorders>
            <w:shd w:fill="F2F4F8" w:val="clear"/>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Residual vs. diagnosis (Test A)</w:t>
            </w:r>
          </w:p>
        </w:tc>
        <w:tc>
          <w:tcPr>
            <w:tcW w:type="dxa" w:w="4560"/>
            <w:tcBorders>
              <w:top w:val="single" w:color="AAAAAA" w:sz="1"/>
              <w:left w:val="single" w:color="AAAAAA" w:sz="1"/>
              <w:bottom w:val="single" w:color="AAAAAA" w:sz="1"/>
              <w:right w:val="single" w:color="AAAAAA" w:sz="1"/>
            </w:tcBorders>
            <w:shd w:fill="F2F4F8" w:val="clear"/>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r = 0.002, p = 0.95</w:t>
            </w:r>
          </w:p>
        </w:tc>
        <w:tc>
          <w:tcPr>
            <w:tcW w:type="dxa" w:w="2400"/>
            <w:tcBorders>
              <w:top w:val="single" w:color="AAAAAA" w:sz="1"/>
              <w:left w:val="single" w:color="AAAAAA" w:sz="1"/>
              <w:bottom w:val="single" w:color="AAAAAA" w:sz="1"/>
              <w:right w:val="single" w:color="AAAAAA" w:sz="1"/>
            </w:tcBorders>
            <w:shd w:fill="F2F4F8" w:val="clear"/>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No ASD-specific individuated spectral signal detected</w:t>
            </w:r>
          </w:p>
        </w:tc>
      </w:tr>
      <w:tr>
        <w:trPr>
          <w:tblHeader w:val="false"/>
        </w:trPr>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λ₂ CV (Test B)</w:t>
            </w:r>
          </w:p>
        </w:tc>
        <w:tc>
          <w:tcPr>
            <w:tcW w:type="dxa" w:w="456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0.177</w:t>
            </w:r>
          </w:p>
        </w:tc>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Coefficient of variation of algebraic connectivity across subjects</w:t>
            </w:r>
          </w:p>
        </w:tc>
      </w:tr>
      <w:tr>
        <w:trPr>
          <w:tblHeader w:val="false"/>
        </w:trPr>
        <w:tc>
          <w:tcPr>
            <w:tcW w:type="dxa" w:w="2400"/>
            <w:tcBorders>
              <w:top w:val="single" w:color="AAAAAA" w:sz="1"/>
              <w:left w:val="single" w:color="AAAAAA" w:sz="1"/>
              <w:bottom w:val="single" w:color="AAAAAA" w:sz="1"/>
              <w:right w:val="single" w:color="AAAAAA" w:sz="1"/>
            </w:tcBorders>
            <w:shd w:fill="F2F4F8" w:val="clear"/>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λ₂ stability rank (Test B)</w:t>
            </w:r>
          </w:p>
        </w:tc>
        <w:tc>
          <w:tcPr>
            <w:tcW w:type="dxa" w:w="4560"/>
            <w:tcBorders>
              <w:top w:val="single" w:color="AAAAAA" w:sz="1"/>
              <w:left w:val="single" w:color="AAAAAA" w:sz="1"/>
              <w:bottom w:val="single" w:color="AAAAAA" w:sz="1"/>
              <w:right w:val="single" w:color="AAAAAA" w:sz="1"/>
            </w:tcBorders>
            <w:shd w:fill="F2F4F8" w:val="clear"/>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1 of 50</w:t>
            </w:r>
          </w:p>
        </w:tc>
        <w:tc>
          <w:tcPr>
            <w:tcW w:type="dxa" w:w="2400"/>
            <w:tcBorders>
              <w:top w:val="single" w:color="AAAAAA" w:sz="1"/>
              <w:left w:val="single" w:color="AAAAAA" w:sz="1"/>
              <w:bottom w:val="single" w:color="AAAAAA" w:sz="1"/>
              <w:right w:val="single" w:color="AAAAAA" w:sz="1"/>
            </w:tcBorders>
            <w:shd w:fill="F2F4F8" w:val="clear"/>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λ₂ is the most reproducible eigenvalue in the spectrum</w:t>
            </w:r>
          </w:p>
        </w:tc>
      </w:tr>
      <w:tr>
        <w:trPr>
          <w:tblHeader w:val="false"/>
        </w:trPr>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Grand mean r, all 17 sites (Test C)</w:t>
            </w:r>
          </w:p>
        </w:tc>
        <w:tc>
          <w:tcPr>
            <w:tcW w:type="dxa" w:w="456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0.9885</w:t>
            </w:r>
          </w:p>
        </w:tc>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Inter-subject correlation grand mean across all 17 sites (range 0.9777–0.9915)</w:t>
            </w:r>
          </w:p>
        </w:tc>
      </w:tr>
      <w:tr>
        <w:trPr>
          <w:tblHeader w:val="false"/>
        </w:trPr>
        <w:tc>
          <w:tcPr>
            <w:tcW w:type="dxa" w:w="2400"/>
            <w:tcBorders>
              <w:top w:val="single" w:color="AAAAAA" w:sz="1"/>
              <w:left w:val="single" w:color="AAAAAA" w:sz="1"/>
              <w:bottom w:val="single" w:color="AAAAAA" w:sz="1"/>
              <w:right w:val="single" w:color="AAAAAA" w:sz="1"/>
            </w:tcBorders>
            <w:shd w:fill="F2F4F8" w:val="clear"/>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Sites passing r &gt; 0.95 (Test C)</w:t>
            </w:r>
          </w:p>
        </w:tc>
        <w:tc>
          <w:tcPr>
            <w:tcW w:type="dxa" w:w="4560"/>
            <w:tcBorders>
              <w:top w:val="single" w:color="AAAAAA" w:sz="1"/>
              <w:left w:val="single" w:color="AAAAAA" w:sz="1"/>
              <w:bottom w:val="single" w:color="AAAAAA" w:sz="1"/>
              <w:right w:val="single" w:color="AAAAAA" w:sz="1"/>
            </w:tcBorders>
            <w:shd w:fill="F2F4F8" w:val="clear"/>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17 / 17</w:t>
            </w:r>
          </w:p>
        </w:tc>
        <w:tc>
          <w:tcPr>
            <w:tcW w:type="dxa" w:w="2400"/>
            <w:tcBorders>
              <w:top w:val="single" w:color="AAAAAA" w:sz="1"/>
              <w:left w:val="single" w:color="AAAAAA" w:sz="1"/>
              <w:bottom w:val="single" w:color="AAAAAA" w:sz="1"/>
              <w:right w:val="single" w:color="AAAAAA" w:sz="1"/>
            </w:tcBorders>
            <w:shd w:fill="F2F4F8" w:val="clear"/>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All 17/17 sites exceed pre-specified threshold r &gt; 0.95</w:t>
            </w:r>
          </w:p>
        </w:tc>
      </w:tr>
      <w:tr>
        <w:trPr>
          <w:tblHeader w:val="false"/>
        </w:trPr>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Site CV difference (Test C)</w:t>
            </w:r>
          </w:p>
        </w:tc>
        <w:tc>
          <w:tcPr>
            <w:tcW w:type="dxa" w:w="456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0.004 (threshold: 0.05)</w:t>
            </w:r>
          </w:p>
        </w:tc>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Sites show equivalent collapse scores</w:t>
            </w:r>
          </w:p>
        </w:tc>
      </w:tr>
      <w:tr>
        <w:trPr>
          <w:tblHeader w:val="false"/>
        </w:trPr>
        <w:tc>
          <w:tcPr>
            <w:tcW w:type="dxa" w:w="2400"/>
            <w:tcBorders>
              <w:top w:val="single" w:color="AAAAAA" w:sz="1"/>
              <w:left w:val="single" w:color="AAAAAA" w:sz="1"/>
              <w:bottom w:val="single" w:color="AAAAAA" w:sz="1"/>
              <w:right w:val="single" w:color="AAAAAA" w:sz="1"/>
            </w:tcBorders>
            <w:shd w:fill="F2F4F8" w:val="clear"/>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Combined pool CV (Test C)</w:t>
            </w:r>
          </w:p>
        </w:tc>
        <w:tc>
          <w:tcPr>
            <w:tcW w:type="dxa" w:w="4560"/>
            <w:tcBorders>
              <w:top w:val="single" w:color="AAAAAA" w:sz="1"/>
              <w:left w:val="single" w:color="AAAAAA" w:sz="1"/>
              <w:bottom w:val="single" w:color="AAAAAA" w:sz="1"/>
              <w:right w:val="single" w:color="AAAAAA" w:sz="1"/>
            </w:tcBorders>
            <w:shd w:fill="F2F4F8" w:val="clear"/>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0.1502</w:t>
            </w:r>
          </w:p>
        </w:tc>
      </w:tr>
      <w:tr>
        <w:trPr>
          <w:tblHeader w:val="false"/>
        </w:trPr>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Replication verdict (Test C)</w:t>
            </w:r>
          </w:p>
        </w:tc>
        <w:tc>
          <w:tcPr>
            <w:tcW w:type="dxa" w:w="456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REPLICATED — 17/17 sites pass all criteria</w:t>
            </w:r>
          </w:p>
        </w:tc>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All pre-specified replication thresholds passed</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Times New Roman" w:cs="Times New Roman" w:eastAsia="Times New Roman" w:hAnsi="Times New Roman"/>
      <w:b/>
      <w:bCs/>
      <w:color w:val="1F3864"/>
      <w:sz w:val="28"/>
      <w:szCs w:val="28"/>
    </w:rPr>
  </w:style>
  <w:style w:type="paragraph" w:styleId="Heading2">
    <w:name w:val="Heading 2"/>
    <w:basedOn w:val="Normal"/>
    <w:next w:val="Normal"/>
    <w:qFormat/>
    <w:pPr>
      <w:spacing w:before="240" w:after="80"/>
      <w:outlineLvl w:val="1"/>
    </w:pPr>
    <w:rPr>
      <w:rFonts w:ascii="Times New Roman" w:cs="Times New Roman" w:eastAsia="Times New Roman" w:hAnsi="Times New Roman"/>
      <w:b/>
      <w:bCs/>
      <w:i/>
      <w:iCs/>
      <w:color w:val="2E549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2026-02-28T03:57:34.858Z</dcterms:created>
  <dcterms:modified xsi:type="dcterms:W3CDTF">2026-02-28T03:57:34.859Z</dcterms:modified>
</cp:coreProperties>
</file>

<file path=docProps/custom.xml><?xml version="1.0" encoding="utf-8"?>
<Properties xmlns="http://schemas.openxmlformats.org/officeDocument/2006/custom-properties" xmlns:vt="http://schemas.openxmlformats.org/officeDocument/2006/docPropsVTypes"/>
</file>