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7.png" ContentType="image/png"/>
  <Override PartName="/word/media/rId43.png" ContentType="image/png"/>
  <Override PartName="/word/media/rId40.png" ContentType="image/png"/>
  <Override PartName="/word/media/rId47.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Invalid 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20498</w:t>
      </w:r>
    </w:p>
    <w:p>
      <w:pPr>
        <w:pStyle w:val="BodyText"/>
      </w:pPr>
      <w:r>
        <w:t xml:space="preserve">This is the preface</w:t>
      </w:r>
    </w:p>
    <w:bookmarkEnd w:id="20"/>
    <w:bookmarkStart w:id="21" w:name="introduction"/>
    <w:p>
      <w:pPr>
        <w:pStyle w:val="Heading1"/>
      </w:pPr>
      <w:r>
        <w:t xml:space="preserve">Introduction</w:t>
      </w:r>
    </w:p>
    <w:p>
      <w:pPr>
        <w:pStyle w:val="FirstParagraph"/>
      </w:pPr>
      <w:r>
        <w:t xml:space="preserve">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w:t>
      </w:r>
    </w:p>
    <w:p>
      <w:pPr>
        <w:pStyle w:val="BodyText"/>
      </w:pPr>
      <w:r>
        <w:t xml:space="preserve">Drawing on our complementary backgrounds in investment analysis and technology implementation, we’ve observed a pattern across industries: the most successful AI applications are those that augment human judgment rather than attempt to replicate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This insight shouldn’t surprise us. Previous technological revolutions followed similar paths. The ATM was supposed to eliminate bank tellers; instead, it changed their role and ultimately increased their numbers. Computer-aided design tools were expected to replace architects; instead, they enhanced architects’ ability to explore creative possibilities. The key difference today is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3"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The debate around artificial intelligence has fallen into a familiar trap: a false binary between utopian promises and dystopian warnings. On one side stand the techno-optimists, proclaiming an era where AI will solve humanity’s greatest challenges – from climate change to cancer. On the other, the doomsayers warn of widespread unemployment and social upheaval as machines surpass human capabilities. Both camps share a fundamental misconception about the nature of artificial intelligence and its relationship to human cognition.</w:t>
      </w:r>
    </w:p>
    <w:p>
      <w:pPr>
        <w:pStyle w:val="BodyText"/>
      </w:pPr>
      <w:r>
        <w:t xml:space="preserve">Consider the case of the automated teller machine (ATM). When banks began widespread deployment of ATMs in the 1970s, conventional wisdom held that bank teller jobs would soon disappear. The reality proved more complex. The number of bank tellers in the United States actually increased in the decades following ATM adoption. As routine cash transactions became automated, tellers evolved into relationship managers who could help customers with more complex financial needs. The ATM didn’t replace human workers – it enhanced their capabilities and transformed their roles.</w:t>
      </w:r>
    </w:p>
    <w:p>
      <w:pPr>
        <w:pStyle w:val="BodyText"/>
      </w:pPr>
      <w:r>
        <w:t xml:space="preserve">This pattern has repeated across industries. Computer-aided design tools didn’t eliminate architects; they expanded the possibilities for architectural creativity. Spreadsheet software didn’t replace accountants; it freed them to focus on higher-level analysis and strategy. In each case, technology augmented rather than replaced human capabilities. Yet when we discuss artificial intelligence, we seem to forget these lessons.</w:t>
      </w:r>
    </w:p>
    <w:p>
      <w:pPr>
        <w:pStyle w:val="BodyText"/>
      </w:pPr>
      <w:r>
        <w:t xml:space="preserve">The current wave of AI technology, particularly large language models like GPT-4, has reignited old debates about machine intelligence and human obsolescence. These models can engage in remarkably human-like conversation, generate creative content, and process vast amounts of information. Their capabilities have led some observers to predict the imminent automation of knowledge work, from legal research to financial analysis to creative writing. Others warn of the existential risks posed by increasingly capable AI systems.</w:t>
      </w:r>
    </w:p>
    <w:p>
      <w:pPr>
        <w:pStyle w:val="BodyText"/>
      </w:pPr>
      <w:r>
        <w:t xml:space="preserve">But both perspectives miss a crucial insight: AI’s most impressive capabilities are fundamentally different from human intelligence. Consider an AI system trained to play chess. While it may achieve superhuman performance, it does so through brute-force calculation and pattern matching, not through the kind of strategic thinking that characterizes human chess masters. The AI doesn’t understand chess in any meaningful sense – it simply processes moves according to its training.</w:t>
      </w:r>
    </w:p>
    <w:p>
      <w:pPr>
        <w:pStyle w:val="BodyText"/>
      </w:pPr>
      <w:r>
        <w:t xml:space="preserve">This distinction becomes even more apparent when we examine AI systems in real-world applications. Take the case of AI-assisted medical diagnosis. Modern AI systems can analyze medical images with remarkable accuracy, often spotting potential anomalies that human doctors might miss. Yet no responsible healthcare provider would suggest eliminating human doctors from the diagnostic process. The AI excels at pattern recognition, but it lacks the holistic understanding that allows doctors to interpret findings in the context of a patient’s overall health, lifestyle, and circumstances.</w:t>
      </w:r>
    </w:p>
    <w:p>
      <w:pPr>
        <w:pStyle w:val="BodyText"/>
      </w:pPr>
      <w:r>
        <w:t xml:space="preserve">The key to understanding AI’s role lies in recognizing what makes human intelligence unique. Humans possess several capabilities that current AI systems cannot replicate: contextual understanding, common sense reasoning, and perhaps most importantly, the ability to ask meaningful questions. When a financial analyst evaluates a company, they don’t simply process historical data – they consider broader economic trends, assess management credibility, and imagine possible futures. These distinctly human capabilities remain essential even as AI tools become more sophisticated.</w:t>
      </w:r>
    </w:p>
    <w:p>
      <w:pPr>
        <w:pStyle w:val="BodyText"/>
      </w:pPr>
      <w:r>
        <w:t xml:space="preserve">Moreover, humans possess something that AI fundamentally lacks: agency and intentionality. We are beings-in-the-world, to borrow philosopher Martin Heidegger’s phrase, with our own goals, values, and desires. We don’t simply process information; we interpret it through the lens of our experiences and aspirations. This human element isn’t a bug to be eliminated – it’s a feature essential to meaningful decision-making.</w:t>
      </w:r>
    </w:p>
    <w:p>
      <w:pPr>
        <w:pStyle w:val="BodyText"/>
      </w:pPr>
      <w:r>
        <w:t xml:space="preserve">Consider the attempt to use AI to complete Beethoven’s unfinished 10th symphony. While the resulting composition contained all the technical elements of a Beethoven symphony, music critics found it lacking the spark of genius that characterizes the composer’s authentic works. The notes were correct, but the soul was missing. This illustrates a broader truth about AI: it can process and recombine existing patterns, but it cannot truly create in the way humans do.</w:t>
      </w:r>
    </w:p>
    <w:p>
      <w:pPr>
        <w:pStyle w:val="BodyText"/>
      </w:pPr>
      <w:r>
        <w:t xml:space="preserve">The implications for business and society are profound. Rather than asking which jobs AI will eliminate, we should ask how AI can enhance human capabilities across industries. This requires moving beyond simplistic automation narratives to understand the unique strengths of both human and artificial intelligence.</w:t>
      </w:r>
    </w:p>
    <w:p>
      <w:pPr>
        <w:pStyle w:val="BodyText"/>
      </w:pPr>
      <w:r>
        <w:t xml:space="preserve">In financial services, for example, AI systems can process vast amounts of market data and identify patterns that human traders might miss. But successful trading strategies still require human judgment to interpret these patterns in the context of broader economic and geopolitical developments. The most successful firms are those that have found ways to combine AI’s computational capabilities with human insight and intuition.</w:t>
      </w:r>
    </w:p>
    <w:p>
      <w:pPr>
        <w:pStyle w:val="BodyText"/>
      </w:pPr>
      <w:r>
        <w:t xml:space="preserve">Similarly, in creative fields, AI tools can generate variations on existing patterns or help visualize concepts quickly. But compelling creative work still requires human vision and judgment. The rise of AI art tools hasn’t eliminated the need for human artists – it has given them new ways to express their creativity while highlighting the importance of authentic human expression.</w:t>
      </w:r>
    </w:p>
    <w:p>
      <w:pPr>
        <w:pStyle w:val="BodyText"/>
      </w:pPr>
      <w:r>
        <w:t xml:space="preserve">Even in fields where AI has made remarkable progress, such as language translation, the human element remains crucial. While AI can produce grammatically correct translations, human translators are still needed to capture nuance, cultural context, and intended meaning. The most effective approach combines AI’s speed and broad coverage with human judgment about what makes a translation truly effective.</w:t>
      </w:r>
    </w:p>
    <w:p>
      <w:pPr>
        <w:pStyle w:val="BodyText"/>
      </w:pPr>
      <w:r>
        <w:t xml:space="preserve">This pattern – AI augmenting rather than replacing human capabilities – points to a future very different from both the utopian and dystopian visions currently dominating public discourse. Instead of a world where AI systems take over human tasks, we’re entering an era of enhancement, where human capabilities are amplified by artificial intelligence.</w:t>
      </w:r>
    </w:p>
    <w:p>
      <w:pPr>
        <w:pStyle w:val="BodyText"/>
      </w:pPr>
      <w:r>
        <w:t xml:space="preserve">This future will require new ways of thinking about human-AI collaboration. Business leaders will need frameworks for identifying where AI can best enhance human capabilities. Workers will need to understand how to effectively partner with AI tools while developing the distinctly human skills that become more valuable as routine tasks are automated. Policymakers will need to govern AI development in ways that preserve human agency and judgment.</w:t>
      </w:r>
    </w:p>
    <w:p>
      <w:pPr>
        <w:pStyle w:val="BodyText"/>
      </w:pPr>
      <w:r>
        <w:t xml:space="preserve">Throughout this book, we’ll explore these themes through real-world examples and practical frameworks. We’ll examine successful implementations of AI across industries, always focusing on how they enhance rather than replace human capabilities. We’ll look at the technical limitations of current AI systems, not to minimize their impressive capabilities, but to understand where human judgment remains essential. And we’ll consider the broader implications for business strategy, investment decisions, and policy choices.</w:t>
      </w:r>
    </w:p>
    <w:p>
      <w:pPr>
        <w:pStyle w:val="BodyText"/>
      </w:pPr>
      <w:r>
        <w:t xml:space="preserve">The central argument that will emerge is this: the future belongs not to artificial intelligence alone, but to enhanced human intelligence – the combination of AI’s computational capabilities with humanity’s unique capacity for judgment, creativity, and understanding. By keeping humans</w:t>
      </w:r>
      <w:r>
        <w:t xml:space="preserve"> </w:t>
      </w:r>
      <w:r>
        <w:t xml:space="preserve">“in the loop”</w:t>
      </w:r>
      <w:r>
        <w:t xml:space="preserve"> </w:t>
      </w:r>
      <w:r>
        <w:t xml:space="preserve">and focusing on enhancement rather than replacement, we can harness AI’s potential while preserving what makes us uniquely human.</w:t>
      </w:r>
    </w:p>
    <w:p>
      <w:pPr>
        <w:pStyle w:val="BodyText"/>
      </w:pPr>
      <w:r>
        <w:t xml:space="preserve">This isn’t just a philosophical position – it’s a practical approach supported by evidence from actual AI implementations across industries. In the chapters that follow, we’ll explore this evidence in detail, providing concrete guidance for business leaders, investors, and policymakers navigating the AI revolution.</w:t>
      </w:r>
    </w:p>
    <w:bookmarkStart w:id="22" w:name="the-current-thing"/>
    <w:p>
      <w:pPr>
        <w:pStyle w:val="Heading2"/>
      </w:pPr>
      <w:r>
        <w:t xml:space="preserve">1.1 The Current Thing</w:t>
      </w:r>
    </w:p>
    <w:p>
      <w:pPr>
        <w:pStyle w:val="FirstParagraph"/>
      </w:pPr>
      <w:r>
        <w:t xml:space="preserve">The rise of ChatGPT in late 2022 marked a watershed moment in public consciousness about artificial intelligence. Suddenly, everyone from CEOs to schoolchildren could experience AI’s capabilities firsthand. The technology felt magical – here was a computer that could write essays, debug code, and engage in seemingly intelligent conversation. Stock prices of AI-related companies soared, and predictions about AI’s impact became increasingly extreme. Some warned of mass unemployment as AI replaces human workers, while others promised a utopian future where artificial intelligence solves humanity’s greatest challenges.</w:t>
      </w:r>
    </w:p>
    <w:p>
      <w:pPr>
        <w:pStyle w:val="BodyText"/>
      </w:pPr>
      <w:r>
        <w:t xml:space="preserve">But both narratives miss something fundamental about how AI actually works and how it’s being implemented in the real world. Consider what happened when a Fortune 500 consumer products company piloted Microsoft’s CoPilot, an AI assistant integrated into Office applications. The initial excitement was palpable – here was a tool that promised to automate email responses, summarize meetings, and help with presentations. Yet employees found themselves spending almost as much time editing and verifying the AI’s output as they would have spent writing from scratch. The AI’s responses were grammatically perfect but often missed crucial context or nuance that a human would naturally understand.</w:t>
      </w:r>
    </w:p>
    <w:p>
      <w:pPr>
        <w:pStyle w:val="BodyText"/>
      </w:pPr>
      <w:r>
        <w:t xml:space="preserve">This pattern – AI as a powerful but ultimately limited assistant rather than a replacement – keeps repeating across industries. In finance, AI-powered research platforms emerged in 2023 promising to revolutionize investment analysis by automatically processing earnings reports, news flows, and market data. The output was impressive at first glance – comprehensive summaries, neat charts, and plausible-sounding recommendations. But experienced analysts quickly noticed something crucial: while the AI excelled at processing historical data, it struggled with the forward-looking analysis that gives investors an edge. It could tell you that a company’s margins had compressed but couldn’t meaningfully assess whether management’s turnaround strategy would work. It could flag that a competitor had entered a market but couldn’t evaluate the long-term competitive dynamics.</w:t>
      </w:r>
    </w:p>
    <w:p>
      <w:pPr>
        <w:pStyle w:val="BodyText"/>
      </w:pPr>
      <w:r>
        <w:t xml:space="preserve">This limitation isn’t just a temporary technological hurdle – it’s fundamental to how current AI systems work. The large language models powering tools like ChatGPT excel at pattern recognition and synthesis of existing information. They can process and recombinate vast amounts of training data in sophisticated ways. But they lack</w:t>
      </w:r>
      <w:r>
        <w:t xml:space="preserve"> </w:t>
      </w:r>
      <w:r>
        <w:t xml:space="preserve">“backtracking”</w:t>
      </w:r>
      <w:r>
        <w:t xml:space="preserve"> </w:t>
      </w:r>
      <w:r>
        <w:t xml:space="preserve">capabilities – the ability to test hypotheses, revise assumptions, and iterate toward better solutions. When these systems generate text, they’re making a series of sophisticated statistical predictions about what words should come next, but they can’t</w:t>
      </w:r>
      <w:r>
        <w:t xml:space="preserve"> </w:t>
      </w:r>
      <w:r>
        <w:t xml:space="preserve">“think ahead”</w:t>
      </w:r>
      <w:r>
        <w:t xml:space="preserve"> </w:t>
      </w:r>
      <w:r>
        <w:t xml:space="preserve">or revise their approach based on where they’re going.</w:t>
      </w:r>
    </w:p>
    <w:p>
      <w:pPr>
        <w:pStyle w:val="BodyText"/>
      </w:pPr>
      <w:r>
        <w:t xml:space="preserve">This technological constraint has profound implications for how AI will impact work. Rather than wholesale replacement of human workers, what we’re seeing is a shift in the nature of work itself. The key distinction is between knowing</w:t>
      </w:r>
      <w:r>
        <w:t xml:space="preserve"> </w:t>
      </w:r>
      <w:r>
        <w:t xml:space="preserve">“how”</w:t>
      </w:r>
      <w:r>
        <w:t xml:space="preserve"> </w:t>
      </w:r>
      <w:r>
        <w:t xml:space="preserve">to do something and knowing</w:t>
      </w:r>
      <w:r>
        <w:t xml:space="preserve"> </w:t>
      </w:r>
      <w:r>
        <w:t xml:space="preserve">“what”</w:t>
      </w:r>
      <w:r>
        <w:t xml:space="preserve"> </w:t>
      </w:r>
      <w:r>
        <w:t xml:space="preserve">to do in the first place. AI is becoming incredibly good at the</w:t>
      </w:r>
      <w:r>
        <w:t xml:space="preserve"> </w:t>
      </w:r>
      <w:r>
        <w:t xml:space="preserve">“how”</w:t>
      </w:r>
      <w:r>
        <w:t xml:space="preserve"> </w:t>
      </w:r>
      <w:r>
        <w:t xml:space="preserve">– the mechanical execution of tasks once you’ve specified what needs to be done. But humans remain essential for determining</w:t>
      </w:r>
      <w:r>
        <w:t xml:space="preserve"> </w:t>
      </w:r>
      <w:r>
        <w:t xml:space="preserve">“what”</w:t>
      </w:r>
      <w:r>
        <w:t xml:space="preserve"> </w:t>
      </w:r>
      <w:r>
        <w:t xml:space="preserve">needs to be done, why it matters, and whether the results make sense in a broader context.</w:t>
      </w:r>
    </w:p>
    <w:p>
      <w:pPr>
        <w:pStyle w:val="BodyText"/>
      </w:pPr>
      <w:r>
        <w:t xml:space="preserve">Consider software development. Tools like GitHub Copilot are remarkably good at generating code once you’ve specified what you want to build. But they can’t determine what features users actually need, how different components should work together, or whether a particular approach makes sense for the long-term maintainability of the system. This distinction between</w:t>
      </w:r>
      <w:r>
        <w:t xml:space="preserve"> </w:t>
      </w:r>
      <w:r>
        <w:t xml:space="preserve">“what”</w:t>
      </w:r>
      <w:r>
        <w:t xml:space="preserve"> </w:t>
      </w:r>
      <w:r>
        <w:t xml:space="preserve">and</w:t>
      </w:r>
      <w:r>
        <w:t xml:space="preserve"> </w:t>
      </w:r>
      <w:r>
        <w:t xml:space="preserve">“how”</w:t>
      </w:r>
      <w:r>
        <w:t xml:space="preserve"> </w:t>
      </w:r>
      <w:r>
        <w:t xml:space="preserve">helps explain why previous predictions about automation and job displacement have consistently been wrong. When ATMs were introduced, many predicted the end of bank tellers. Instead, banks opened more branches, and tellers shifted from counting cash to providing higher-value services like relationship management and problem-solving.</w:t>
      </w:r>
    </w:p>
    <w:p>
      <w:pPr>
        <w:pStyle w:val="BodyText"/>
      </w:pPr>
      <w:r>
        <w:t xml:space="preserve">The investment implications of this pattern are significant. Many of today’s highest-flying AI companies are valued based on the assumption that they’ll eventually replace human workers entirely. But the biggest winners are likely to be companies that focus on augmenting human capabilities rather than replacing them. Take Starbucks, for example. Instead of trying to automate baristas out of existence, they’ve used AI to optimize store operations and inventory management, freeing up staff to focus on customer interaction and experience – the human elements that actually drive their business.</w:t>
      </w:r>
    </w:p>
    <w:p>
      <w:pPr>
        <w:pStyle w:val="BodyText"/>
      </w:pPr>
      <w:r>
        <w:t xml:space="preserve">This pattern extends even to creative fields. When a team used AI to complete Beethoven’s unfinished 10th symphony, the technical achievement was impressive – the AI analyzed all of Beethoven’s previous works and generated music that superficially sounded similar. But music critics immediately noticed something was missing. The notes were there, but the spark of genius – the human element – was absent. As critic Jan Swafford noted,</w:t>
      </w:r>
      <w:r>
        <w:t xml:space="preserve"> </w:t>
      </w:r>
      <w:r>
        <w:t xml:space="preserve">“We humans need to see the human doing it.”</w:t>
      </w:r>
      <w:r>
        <w:t xml:space="preserve"> </w:t>
      </w:r>
      <w:r>
        <w:t xml:space="preserve">This applies not just to art but to business, healthcare, education, and virtually every field where AI is being deployed.</w:t>
      </w:r>
    </w:p>
    <w:p>
      <w:pPr>
        <w:pStyle w:val="BodyText"/>
      </w:pPr>
      <w:r>
        <w:t xml:space="preserve">This brings us to the central insight of the enhancement revolution: AI’s impact on work will be determined not by what tasks it can technically perform, but by how it changes the value of different types of human capabilities. Tasks that primarily involve following predetermined procedures or processing large amounts of data will increasingly be handled by AI. But this will make uniquely human capabilities – judgment, creativity, emotional intelligence, and the ability to determine</w:t>
      </w:r>
      <w:r>
        <w:t xml:space="preserve"> </w:t>
      </w:r>
      <w:r>
        <w:t xml:space="preserve">“what”</w:t>
      </w:r>
      <w:r>
        <w:t xml:space="preserve"> </w:t>
      </w:r>
      <w:r>
        <w:t xml:space="preserve">needs to be done – more valuable, not less.</w:t>
      </w:r>
    </w:p>
    <w:p>
      <w:pPr>
        <w:pStyle w:val="BodyText"/>
      </w:pPr>
      <w:r>
        <w:t xml:space="preserve">This insight has profound implications for how organizations should approach AI implementation. Rather than asking</w:t>
      </w:r>
      <w:r>
        <w:t xml:space="preserve"> </w:t>
      </w:r>
      <w:r>
        <w:t xml:space="preserve">“What jobs can we automate?”</w:t>
      </w:r>
      <w:r>
        <w:t xml:space="preserve">, the better question is</w:t>
      </w:r>
      <w:r>
        <w:t xml:space="preserve"> </w:t>
      </w:r>
      <w:r>
        <w:t xml:space="preserve">“How can we use AI to enhance our employees’ capabilities?”</w:t>
      </w:r>
      <w:r>
        <w:t xml:space="preserve"> </w:t>
      </w:r>
      <w:r>
        <w:t xml:space="preserve">This shift in perspective leads to very different strategic choices and investment decisions.</w:t>
      </w:r>
    </w:p>
    <w:p>
      <w:pPr>
        <w:pStyle w:val="BodyText"/>
      </w:pPr>
      <w:r>
        <w:t xml:space="preserve">In the following chapters, we’ll explore specific examples of successful enhancement-focused AI implementations across industries. We’ll examine why some approaches work better than others, and we’ll provide frameworks for business leaders and investors to evaluate AI opportunities through the enhancement lens. But the key takeaway is this: The AI revolution won’t be about replacement; it will be about enhancement. Understanding this distinction is crucial for anyone trying to navigate the profound changes that AI will bring to business and society.</w:t>
      </w:r>
    </w:p>
    <w:bookmarkEnd w:id="22"/>
    <w:bookmarkEnd w:id="23"/>
    <w:bookmarkStart w:id="52"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4"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4"/>
    <w:bookmarkStart w:id="25"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5"/>
    <w:bookmarkStart w:id="26"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6"/>
    <w:bookmarkStart w:id="29" w:name="fine-tuning-the-output"/>
    <w:p>
      <w:pPr>
        <w:pStyle w:val="Heading2"/>
      </w:pPr>
      <w:r>
        <w:t xml:space="preserve">2.4 Fine-tuning the output</w:t>
      </w:r>
    </w:p>
    <w:p>
      <w:pPr>
        <w:pStyle w:val="FirstParagraph"/>
      </w:pPr>
      <w:r>
        <w:t xml:space="preserve">Despite their impressive capabilities, raw language models often generate responses that are technically correct but practically useless. The key challenge lies not in generating text, but in producing output that aligns with human expectations and values.</w:t>
      </w:r>
    </w:p>
    <w:p>
      <w:pPr>
        <w:pStyle w:val="BodyText"/>
      </w:pPr>
      <w:r>
        <w:t xml:space="preserve">Consider how a language model might handle the prompt</w:t>
      </w:r>
      <w:r>
        <w:t xml:space="preserve"> </w:t>
      </w:r>
      <w:r>
        <w:t xml:space="preserve">“How do I make money quickly?”</w:t>
      </w:r>
      <w:r>
        <w:t xml:space="preserve"> </w:t>
      </w:r>
      <w:r>
        <w:t xml:space="preserve">Without fine-tuning, it might suggest illegal schemes or unrealistic get-rich-quick schemes alongside legitimate business advice. The model is simply completing the text based on patterns it has seen, with no understanding of ethics or practicality.</w:t>
      </w:r>
    </w:p>
    <w:p>
      <w:pPr>
        <w:pStyle w:val="BodyText"/>
      </w:pPr>
      <w:r>
        <w:t xml:space="preserve">This is where fine-tuning becomes crucial. The process involves three key approaches:</w:t>
      </w:r>
    </w:p>
    <w:p>
      <w:pPr>
        <w:pStyle w:val="BodyText"/>
      </w:pPr>
      <w:r>
        <w:t xml:space="preserve">Reinforcement learning works by assigning scores to different outputs and adjusting the model’s parameters to favor higher-scoring responses. For example, responses suggesting legitimate business opportunities would receive higher scores than those promoting scams. The model gradually learns to generate more appropriate suggestions.</w:t>
      </w:r>
    </w:p>
    <w:p>
      <w:pPr>
        <w:pStyle w:val="BodyText"/>
      </w:pPr>
      <w:r>
        <w:t xml:space="preserve">RLHF (Reinforcement Learning with Human Feedback)</w:t>
      </w:r>
      <w:r>
        <w:rPr>
          <w:rStyle w:val="FootnoteReference"/>
        </w:rPr>
        <w:footnoteReference w:id="27"/>
      </w:r>
      <w:r>
        <w:t xml:space="preserve"> </w:t>
      </w:r>
      <w:r>
        <w:t xml:space="preserve">adds human judgment to this process. When developing ChatGPT, OpenAI presented human raters with multiple responses to the same prompt. Raters evaluated responses based on helpfulness, truthfulness, and potential harm. This feedback was then used to further train the model.</w:t>
      </w:r>
    </w:p>
    <w:p>
      <w:pPr>
        <w:pStyle w:val="BodyText"/>
      </w:pPr>
      <w:r>
        <w:t xml:space="preserve">RLAIF (Reinforcement Learning with AI Feedback) attempts to scale this process by using AI systems to evaluate outputs. While more scalable than human feedback, this approach faces a fundamental challenge: how can an AI system evaluate responses without understanding human values and context?</w:t>
      </w:r>
    </w:p>
    <w:p>
      <w:pPr>
        <w:pStyle w:val="BodyText"/>
      </w:pPr>
      <w:r>
        <w:t xml:space="preserve">The limitations of AI feedback become apparent in complex scenarios. Consider a medical chatbot trained using RLAIF. The AI evaluator might approve responses that are technically accurate but miss crucial context or nuance that a human doctor would catch. A response suggesting common flu treatments might be technically correct but dangerously incomplete if the patient has mentioned symptoms of a more serious condition.</w:t>
      </w:r>
    </w:p>
    <w:p>
      <w:pPr>
        <w:pStyle w:val="BodyText"/>
      </w:pPr>
      <w:r>
        <w:t xml:space="preserve">This reveals a deeper issue with language models: they can’t truly understand the implications of their outputs. They operate through pattern recognition rather than comprehension. When the model suggests</w:t>
      </w:r>
      <w:r>
        <w:t xml:space="preserve"> </w:t>
      </w:r>
      <w:r>
        <w:t xml:space="preserve">“Take aspirin for your headache,”</w:t>
      </w:r>
      <w:r>
        <w:t xml:space="preserve"> </w:t>
      </w:r>
      <w:r>
        <w:t xml:space="preserve">it’s not actually giving medical advice – it’s predicting what words commonly follow</w:t>
      </w:r>
      <w:r>
        <w:t xml:space="preserve"> </w:t>
      </w:r>
      <w:r>
        <w:t xml:space="preserve">“Take ___ for your headache”</w:t>
      </w:r>
      <w:r>
        <w:t xml:space="preserve"> </w:t>
      </w:r>
      <w:r>
        <w:t xml:space="preserve">in its training data.</w:t>
      </w:r>
    </w:p>
    <w:p>
      <w:pPr>
        <w:pStyle w:val="BodyText"/>
      </w:pPr>
      <w:r>
        <w:t xml:space="preserve">Fine-tuning can mitigate these limitations but never fully eliminate them. Each approach comes with tradeoffs:</w:t>
      </w:r>
    </w:p>
    <w:p>
      <w:pPr>
        <w:pStyle w:val="BodyText"/>
      </w:pPr>
      <w:r>
        <w:t xml:space="preserve">Traditional reinforcement learning excels at optimizing for specific, measurable metrics but struggles with subjective qualities like helpfulness or creativity. A model trained to maximize engagement might generate controversial or sensational content rather than accurate, balanced information.</w:t>
      </w:r>
    </w:p>
    <w:p>
      <w:pPr>
        <w:pStyle w:val="BodyText"/>
      </w:pPr>
      <w:r>
        <w:t xml:space="preserve">RLHF produces more nuanced, socially aware responses but faces scaling challenges. Human evaluators are expensive and can introduce their own biases. Different evaluators might have conflicting views on what constitutes a</w:t>
      </w:r>
      <w:r>
        <w:t xml:space="preserve"> </w:t>
      </w:r>
      <w:r>
        <w:t xml:space="preserve">“good”</w:t>
      </w:r>
      <w:r>
        <w:t xml:space="preserve"> </w:t>
      </w:r>
      <w:r>
        <w:t xml:space="preserve">response, especially for controversial topics.</w:t>
      </w:r>
    </w:p>
    <w:p>
      <w:pPr>
        <w:pStyle w:val="BodyText"/>
      </w:pPr>
      <w:r>
        <w:t xml:space="preserve">RLAIF attempts to bridge this gap but inherits the fundamental limitations of AI systems. An AI evaluator might approve responses that are syntactically perfect but semantically nonsensical, or miss subtle forms of bias that human evaluators would catch.</w:t>
      </w:r>
    </w:p>
    <w:p>
      <w:pPr>
        <w:pStyle w:val="BodyText"/>
      </w:pPr>
      <w:r>
        <w:t xml:space="preserve">These challenges explain why even advanced language models occasionally produce responses that are simultaneously impressive and problematic. They might generate perfectly formatted code that contains subtle security vulnerabilities, or write eloquent essays that include factual inaccuracies.</w:t>
      </w:r>
    </w:p>
    <w:p>
      <w:pPr>
        <w:pStyle w:val="BodyText"/>
      </w:pPr>
      <w:r>
        <w:t xml:space="preserve">Understanding these limitations is crucial for anyone implementing AI systems. The goal of fine-tuning isn’t to create perfect responses, but to make the model’s limitations predictable and manageable. This often means designing systems where AI augments rather than replaces human judgment.</w:t>
      </w:r>
    </w:p>
    <w:p>
      <w:pPr>
        <w:pStyle w:val="BodyText"/>
      </w:pPr>
      <w:r>
        <w:t xml:space="preserve">Consider how JPMorgan uses AI in its risk assessment processes. Rather than relying solely on AI-generated analysis, they use fine-tuned models to flag potential issues for human review. The AI processes vast amounts of data to identify patterns, but final decisions remain with human analysts who can consider broader context and implications.</w:t>
      </w:r>
    </w:p>
    <w:p>
      <w:pPr>
        <w:pStyle w:val="BodyText"/>
      </w:pPr>
      <w:r>
        <w:t xml:space="preserve">This hybrid approach acknowledges both the power and limitations of fine-tuned models. The AI excels at pattern recognition and data processing, while humans provide judgment and context. The result is more effective than either could achieve alone.</w:t>
      </w:r>
    </w:p>
    <w:bookmarkEnd w:id="29"/>
    <w:bookmarkStart w:id="30"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30"/>
    <w:bookmarkStart w:id="50"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1">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2"/>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4">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5">
        <w:r>
          <w:rPr>
            <w:rStyle w:val="Hyperlink"/>
          </w:rPr>
          <w:t xml:space="preserve">an interactive graphic</w:t>
        </w:r>
      </w:hyperlink>
      <w:r>
        <w:t xml:space="preserve"> </w:t>
      </w:r>
      <w:r>
        <w:t xml:space="preserve">that digs into more detail. (Also discussed on</w:t>
      </w:r>
      <w:r>
        <w:t xml:space="preserve"> </w:t>
      </w:r>
      <w:hyperlink r:id="rId36">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8" name="Picture"/>
            <a:graphic>
              <a:graphicData uri="http://schemas.openxmlformats.org/drawingml/2006/picture">
                <pic:pic>
                  <pic:nvPicPr>
                    <pic:cNvPr descr="_resources/images/Ch02-images/LLMblogrichardspragueC4data.png" id="39" name="Picture"/>
                    <pic:cNvPicPr>
                      <a:picLocks noChangeArrowheads="1" noChangeAspect="1"/>
                    </pic:cNvPicPr>
                  </pic:nvPicPr>
                  <pic:blipFill>
                    <a:blip r:embed="rId37"/>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1" name="Picture"/>
            <a:graphic>
              <a:graphicData uri="http://schemas.openxmlformats.org/drawingml/2006/picture">
                <pic:pic>
                  <pic:nvPicPr>
                    <pic:cNvPr descr="_resources/images/Ch02-images/LLMrichardspragueC4.png" id="42" name="Picture"/>
                    <pic:cNvPicPr>
                      <a:picLocks noChangeArrowheads="1" noChangeAspect="1"/>
                    </pic:cNvPicPr>
                  </pic:nvPicPr>
                  <pic:blipFill>
                    <a:blip r:embed="rId40"/>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4" name="Picture"/>
            <a:graphic>
              <a:graphicData uri="http://schemas.openxmlformats.org/drawingml/2006/picture">
                <pic:pic>
                  <pic:nvPicPr>
                    <pic:cNvPr descr="_resources/images/Ch02-images/LLMpsmpersonalscience.png" id="45" name="Picture"/>
                    <pic:cNvPicPr>
                      <a:picLocks noChangeArrowheads="1" noChangeAspect="1"/>
                    </pic:cNvPicPr>
                  </pic:nvPicPr>
                  <pic:blipFill>
                    <a:blip r:embed="rId43"/>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6">
        <w:r>
          <w:rPr>
            <w:rStyle w:val="Hyperlink"/>
          </w:rPr>
          <w:t xml:space="preserve">NYTimes</w:t>
        </w:r>
      </w:hyperlink>
    </w:p>
    <w:p>
      <w:pPr>
        <w:pStyle w:val="CaptionedFigure"/>
      </w:pPr>
      <w:r>
        <w:drawing>
          <wp:inline>
            <wp:extent cx="5943600" cy="5428083"/>
            <wp:effectExtent b="0" l="0" r="0" t="0"/>
            <wp:docPr descr="GPT-3 Data Sources" title="" id="48" name="Picture"/>
            <a:graphic>
              <a:graphicData uri="http://schemas.openxmlformats.org/drawingml/2006/picture">
                <pic:pic>
                  <pic:nvPicPr>
                    <pic:cNvPr descr="_resources/images/Ch02-images/OpenAITrainingDataNYTimesChart.png" id="49" name="Picture"/>
                    <pic:cNvPicPr>
                      <a:picLocks noChangeArrowheads="1" noChangeAspect="1"/>
                    </pic:cNvPicPr>
                  </pic:nvPicPr>
                  <pic:blipFill>
                    <a:blip r:embed="rId47"/>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50"/>
    <w:bookmarkStart w:id="51"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1"/>
    <w:bookmarkEnd w:id="52"/>
    <w:bookmarkStart w:id="68"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3"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3"/>
    <w:bookmarkStart w:id="54"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4"/>
    <w:bookmarkStart w:id="55"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5"/>
    <w:bookmarkStart w:id="59"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6"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6"/>
    <w:bookmarkStart w:id="57"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7"/>
    <w:bookmarkStart w:id="58"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8"/>
    <w:bookmarkEnd w:id="59"/>
    <w:bookmarkStart w:id="62"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60"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60"/>
    <w:bookmarkStart w:id="61"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1"/>
    <w:bookmarkEnd w:id="62"/>
    <w:bookmarkStart w:id="66"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3"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3"/>
    <w:bookmarkStart w:id="64"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4"/>
    <w:bookmarkStart w:id="65"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5"/>
    <w:bookmarkEnd w:id="66"/>
    <w:bookmarkStart w:id="67"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7"/>
    <w:bookmarkEnd w:id="68"/>
    <w:bookmarkStart w:id="69"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Before we get started, I have a few words to say….</w:t>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69"/>
    <w:bookmarkStart w:id="84"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70"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70"/>
    <w:bookmarkStart w:id="71"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1"/>
    <w:bookmarkStart w:id="72"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2"/>
    <w:bookmarkStart w:id="74"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73" w:name="book-writing-when-bulldozers-move-words"/>
    <w:p>
      <w:pPr>
        <w:pStyle w:val="Heading3"/>
      </w:pPr>
      <w:r>
        <w:t xml:space="preserve">5.4.1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73"/>
    <w:bookmarkEnd w:id="74"/>
    <w:bookmarkStart w:id="78" w:name="more-examples"/>
    <w:p>
      <w:pPr>
        <w:pStyle w:val="Heading2"/>
      </w:pPr>
      <w:r>
        <w:t xml:space="preserve">5.5 More examples</w:t>
      </w:r>
    </w:p>
    <w:bookmarkStart w:id="75" w:name="Xda3d22083a5e605df5dfa87769aa6e90391c264"/>
    <w:p>
      <w:pPr>
        <w:pStyle w:val="Heading3"/>
      </w:pPr>
      <w:r>
        <w:t xml:space="preserve">5.5.1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75"/>
    <w:bookmarkStart w:id="76" w:name="investment-analysis-beyond-the-numbers"/>
    <w:p>
      <w:pPr>
        <w:pStyle w:val="Heading3"/>
      </w:pPr>
      <w:r>
        <w:t xml:space="preserve">5.5.2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76"/>
    <w:bookmarkStart w:id="77" w:name="X46b7ea0e4e076594aeec030d6837ffb322c252a"/>
    <w:p>
      <w:pPr>
        <w:pStyle w:val="Heading3"/>
      </w:pPr>
      <w:r>
        <w:t xml:space="preserve">5.5.3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77"/>
    <w:bookmarkEnd w:id="78"/>
    <w:bookmarkStart w:id="79" w:name="investment-implications-1"/>
    <w:p>
      <w:pPr>
        <w:pStyle w:val="Heading2"/>
      </w:pPr>
      <w:r>
        <w:t xml:space="preserve">5.6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79"/>
    <w:bookmarkStart w:id="80" w:name="the-future-of-work"/>
    <w:p>
      <w:pPr>
        <w:pStyle w:val="Heading2"/>
      </w:pPr>
      <w:r>
        <w:t xml:space="preserve">5.7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7"/>
        </w:numPr>
      </w:pPr>
      <w:r>
        <w:t xml:space="preserve">Flatter hierarchies as AI handles routine coordination</w:t>
      </w:r>
    </w:p>
    <w:p>
      <w:pPr>
        <w:pStyle w:val="Compact"/>
        <w:numPr>
          <w:ilvl w:val="0"/>
          <w:numId w:val="1007"/>
        </w:numPr>
      </w:pPr>
      <w:r>
        <w:t xml:space="preserve">Smaller, more senior teams focused on</w:t>
      </w:r>
      <w:r>
        <w:t xml:space="preserve"> </w:t>
      </w:r>
      <w:r>
        <w:t xml:space="preserve">“what”</w:t>
      </w:r>
      <w:r>
        <w:t xml:space="preserve"> </w:t>
      </w:r>
      <w:r>
        <w:t xml:space="preserve">decisions</w:t>
      </w:r>
    </w:p>
    <w:p>
      <w:pPr>
        <w:pStyle w:val="Compact"/>
        <w:numPr>
          <w:ilvl w:val="0"/>
          <w:numId w:val="1007"/>
        </w:numPr>
      </w:pPr>
      <w:r>
        <w:t xml:space="preserve">Greater emphasis on judgment and strategic thinking</w:t>
      </w:r>
    </w:p>
    <w:p>
      <w:pPr>
        <w:pStyle w:val="FirstParagraph"/>
      </w:pPr>
      <w:r>
        <w:rPr>
          <w:b/>
          <w:bCs/>
        </w:rPr>
        <w:t xml:space="preserve">Changed Skill Requirements</w:t>
      </w:r>
    </w:p>
    <w:p>
      <w:pPr>
        <w:pStyle w:val="Compact"/>
        <w:numPr>
          <w:ilvl w:val="0"/>
          <w:numId w:val="1008"/>
        </w:numPr>
      </w:pPr>
      <w:r>
        <w:t xml:space="preserve">Less focus on technical tool proficiency</w:t>
      </w:r>
    </w:p>
    <w:p>
      <w:pPr>
        <w:pStyle w:val="Compact"/>
        <w:numPr>
          <w:ilvl w:val="0"/>
          <w:numId w:val="1008"/>
        </w:numPr>
      </w:pPr>
      <w:r>
        <w:t xml:space="preserve">More emphasis on strategic thinking and judgment</w:t>
      </w:r>
    </w:p>
    <w:p>
      <w:pPr>
        <w:pStyle w:val="Compact"/>
        <w:numPr>
          <w:ilvl w:val="0"/>
          <w:numId w:val="1008"/>
        </w:numPr>
      </w:pPr>
      <w:r>
        <w:t xml:space="preserve">Greater value placed on cross-domain knowledge</w:t>
      </w:r>
    </w:p>
    <w:p>
      <w:pPr>
        <w:pStyle w:val="FirstParagraph"/>
      </w:pPr>
      <w:r>
        <w:rPr>
          <w:b/>
          <w:bCs/>
        </w:rPr>
        <w:t xml:space="preserve">Modified Training Approaches</w:t>
      </w:r>
    </w:p>
    <w:p>
      <w:pPr>
        <w:pStyle w:val="Compact"/>
        <w:numPr>
          <w:ilvl w:val="0"/>
          <w:numId w:val="1009"/>
        </w:numPr>
      </w:pPr>
      <w:r>
        <w:t xml:space="preserve">Reduced time spent teaching technical</w:t>
      </w:r>
      <w:r>
        <w:t xml:space="preserve"> </w:t>
      </w:r>
      <w:r>
        <w:t xml:space="preserve">“how”</w:t>
      </w:r>
      <w:r>
        <w:t xml:space="preserve"> </w:t>
      </w:r>
      <w:r>
        <w:t xml:space="preserve">skills</w:t>
      </w:r>
    </w:p>
    <w:p>
      <w:pPr>
        <w:pStyle w:val="Compact"/>
        <w:numPr>
          <w:ilvl w:val="0"/>
          <w:numId w:val="1009"/>
        </w:numPr>
      </w:pPr>
      <w:r>
        <w:t xml:space="preserve">Increased focus on judgment development</w:t>
      </w:r>
    </w:p>
    <w:p>
      <w:pPr>
        <w:pStyle w:val="Compact"/>
        <w:numPr>
          <w:ilvl w:val="0"/>
          <w:numId w:val="1009"/>
        </w:numPr>
      </w:pPr>
      <w:r>
        <w:t xml:space="preserve">More emphasis on understanding human factors</w:t>
      </w:r>
    </w:p>
    <w:bookmarkEnd w:id="80"/>
    <w:bookmarkStart w:id="82" w:name="preparing-for-the-transition"/>
    <w:p>
      <w:pPr>
        <w:pStyle w:val="Heading2"/>
      </w:pPr>
      <w:r>
        <w:t xml:space="preserve">5.8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0"/>
        </w:numPr>
      </w:pPr>
      <w:r>
        <w:t xml:space="preserve">Focus on developing judgment through varied experiences</w:t>
      </w:r>
    </w:p>
    <w:p>
      <w:pPr>
        <w:pStyle w:val="Compact"/>
        <w:numPr>
          <w:ilvl w:val="0"/>
          <w:numId w:val="1010"/>
        </w:numPr>
      </w:pPr>
      <w:r>
        <w:t xml:space="preserve">Build broad knowledge across multiple domains</w:t>
      </w:r>
    </w:p>
    <w:p>
      <w:pPr>
        <w:pStyle w:val="Compact"/>
        <w:numPr>
          <w:ilvl w:val="0"/>
          <w:numId w:val="1010"/>
        </w:numPr>
      </w:pPr>
      <w:r>
        <w:t xml:space="preserve">Practice making and learning from strategic decisions</w:t>
      </w:r>
    </w:p>
    <w:p>
      <w:pPr>
        <w:pStyle w:val="Compact"/>
        <w:numPr>
          <w:ilvl w:val="0"/>
          <w:numId w:val="1010"/>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1"/>
        </w:numPr>
      </w:pPr>
      <w:r>
        <w:t xml:space="preserve">Invest in tools that augment human judgment</w:t>
      </w:r>
    </w:p>
    <w:p>
      <w:pPr>
        <w:pStyle w:val="Compact"/>
        <w:numPr>
          <w:ilvl w:val="0"/>
          <w:numId w:val="1011"/>
        </w:numPr>
      </w:pPr>
      <w:r>
        <w:t xml:space="preserve">Develop processes that capture and share strategic insights</w:t>
      </w:r>
    </w:p>
    <w:p>
      <w:pPr>
        <w:pStyle w:val="Compact"/>
        <w:numPr>
          <w:ilvl w:val="0"/>
          <w:numId w:val="1011"/>
        </w:numPr>
      </w:pPr>
      <w:r>
        <w:t xml:space="preserve">Create cultures that value and develop good judgment</w:t>
      </w:r>
    </w:p>
    <w:p>
      <w:pPr>
        <w:pStyle w:val="Compact"/>
        <w:numPr>
          <w:ilvl w:val="0"/>
          <w:numId w:val="1011"/>
        </w:numPr>
      </w:pPr>
      <w:r>
        <w:t xml:space="preserve">Build teams with diverse perspectives and experiences</w:t>
      </w:r>
    </w:p>
    <w:bookmarkStart w:id="81" w:name="the-human-element-remains-central"/>
    <w:p>
      <w:pPr>
        <w:pStyle w:val="Heading3"/>
      </w:pPr>
      <w:r>
        <w:t xml:space="preserve">5.8.1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81"/>
    <w:bookmarkEnd w:id="82"/>
    <w:bookmarkStart w:id="83" w:name="looking-ahead-1"/>
    <w:p>
      <w:pPr>
        <w:pStyle w:val="Heading2"/>
      </w:pPr>
      <w:r>
        <w:t xml:space="preserve">5.9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83"/>
    <w:bookmarkEnd w:id="84"/>
    <w:bookmarkStart w:id="92"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5"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5"/>
    <w:bookmarkStart w:id="86"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2"/>
        </w:numPr>
      </w:pPr>
      <w:r>
        <w:t xml:space="preserve">What decisions require contextual understanding that AI cannot replicate?</w:t>
      </w:r>
    </w:p>
    <w:p>
      <w:pPr>
        <w:pStyle w:val="Compact"/>
        <w:numPr>
          <w:ilvl w:val="0"/>
          <w:numId w:val="1012"/>
        </w:numPr>
      </w:pPr>
      <w:r>
        <w:t xml:space="preserve">Where can AI’s pattern recognition complement human insight?</w:t>
      </w:r>
    </w:p>
    <w:p>
      <w:pPr>
        <w:pStyle w:val="Compact"/>
        <w:numPr>
          <w:ilvl w:val="0"/>
          <w:numId w:val="1012"/>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6"/>
    <w:bookmarkStart w:id="87"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7"/>
    <w:bookmarkStart w:id="88"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8"/>
    <w:bookmarkStart w:id="89"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89"/>
    <w:bookmarkStart w:id="90"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90"/>
    <w:bookmarkStart w:id="91"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91"/>
    <w:bookmarkEnd w:id="92"/>
    <w:bookmarkStart w:id="103"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93"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93"/>
    <w:bookmarkStart w:id="94"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4"/>
    <w:bookmarkStart w:id="95"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5"/>
    <w:bookmarkStart w:id="96"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6"/>
    <w:bookmarkStart w:id="97"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3"/>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3"/>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3"/>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3"/>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3"/>
        </w:numPr>
      </w:pPr>
      <w:r>
        <w:rPr>
          <w:b/>
          <w:bCs/>
        </w:rPr>
        <w:t xml:space="preserve">Inadequate Feedback Loops</w:t>
      </w:r>
      <w:r>
        <w:t xml:space="preserve">: Many implementations lack effective mechanisms for humans to provide feedback on AI performance and for that feedback to improve the system.</w:t>
      </w:r>
    </w:p>
    <w:bookmarkEnd w:id="97"/>
    <w:bookmarkStart w:id="98"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4"/>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5"/>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6"/>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7"/>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8"/>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9"/>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9"/>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9"/>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98"/>
    <w:bookmarkStart w:id="99"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99"/>
    <w:bookmarkStart w:id="100"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100"/>
    <w:bookmarkStart w:id="101"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101"/>
    <w:bookmarkStart w:id="102"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102"/>
    <w:bookmarkEnd w:id="103"/>
    <w:bookmarkStart w:id="113"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4"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4"/>
    <w:bookmarkStart w:id="105"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5"/>
    <w:bookmarkStart w:id="106"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0"/>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0"/>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0"/>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6"/>
    <w:bookmarkStart w:id="110"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7"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7"/>
    <w:bookmarkStart w:id="108"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8"/>
    <w:bookmarkStart w:id="109"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9"/>
    <w:bookmarkEnd w:id="110"/>
    <w:bookmarkStart w:id="111"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11"/>
    <w:bookmarkStart w:id="112"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12"/>
    <w:bookmarkEnd w:id="113"/>
    <w:bookmarkStart w:id="137"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19"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21"/>
        </w:numPr>
      </w:pPr>
      <w:r>
        <w:t xml:space="preserve">Higher productivity per employee</w:t>
      </w:r>
    </w:p>
    <w:p>
      <w:pPr>
        <w:pStyle w:val="Compact"/>
        <w:numPr>
          <w:ilvl w:val="0"/>
          <w:numId w:val="1021"/>
        </w:numPr>
      </w:pPr>
      <w:r>
        <w:t xml:space="preserve">Improved capital efficiency</w:t>
      </w:r>
    </w:p>
    <w:p>
      <w:pPr>
        <w:pStyle w:val="Compact"/>
        <w:numPr>
          <w:ilvl w:val="0"/>
          <w:numId w:val="1021"/>
        </w:numPr>
      </w:pPr>
      <w:r>
        <w:t xml:space="preserve">Greater customer retention</w:t>
      </w:r>
    </w:p>
    <w:p>
      <w:pPr>
        <w:pStyle w:val="Compact"/>
        <w:numPr>
          <w:ilvl w:val="0"/>
          <w:numId w:val="1021"/>
        </w:numPr>
      </w:pPr>
      <w:r>
        <w:t xml:space="preserve">More sustainable competitive advantages</w:t>
      </w:r>
    </w:p>
    <w:p>
      <w:pPr>
        <w:pStyle w:val="Compact"/>
        <w:numPr>
          <w:ilvl w:val="0"/>
          <w:numId w:val="1021"/>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14"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2"/>
        </w:numPr>
      </w:pPr>
      <w:r>
        <w:t xml:space="preserve">Eliminating low-value repetitive tasks</w:t>
      </w:r>
    </w:p>
    <w:p>
      <w:pPr>
        <w:pStyle w:val="Compact"/>
        <w:numPr>
          <w:ilvl w:val="0"/>
          <w:numId w:val="1022"/>
        </w:numPr>
      </w:pPr>
      <w:r>
        <w:t xml:space="preserve">Improving decision quality through better analytics</w:t>
      </w:r>
    </w:p>
    <w:p>
      <w:pPr>
        <w:pStyle w:val="Compact"/>
        <w:numPr>
          <w:ilvl w:val="0"/>
          <w:numId w:val="1022"/>
        </w:numPr>
      </w:pPr>
      <w:r>
        <w:t xml:space="preserve">Enabling employees to handle more complex cases</w:t>
      </w:r>
    </w:p>
    <w:p>
      <w:pPr>
        <w:pStyle w:val="Compact"/>
        <w:numPr>
          <w:ilvl w:val="0"/>
          <w:numId w:val="1022"/>
        </w:numPr>
      </w:pPr>
      <w:r>
        <w:t xml:space="preserve">Reducing error rates and rework</w:t>
      </w:r>
    </w:p>
    <w:p>
      <w:pPr>
        <w:pStyle w:val="Compact"/>
        <w:numPr>
          <w:ilvl w:val="0"/>
          <w:numId w:val="1022"/>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14"/>
    <w:bookmarkStart w:id="115"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3"/>
        </w:numPr>
      </w:pPr>
      <w:r>
        <w:t xml:space="preserve">Infrastructure requirements are more modest</w:t>
      </w:r>
    </w:p>
    <w:p>
      <w:pPr>
        <w:pStyle w:val="Compact"/>
        <w:numPr>
          <w:ilvl w:val="0"/>
          <w:numId w:val="1023"/>
        </w:numPr>
      </w:pPr>
      <w:r>
        <w:t xml:space="preserve">Implementation can be iterative rather than</w:t>
      </w:r>
      <w:r>
        <w:t xml:space="preserve"> </w:t>
      </w:r>
      <w:r>
        <w:t xml:space="preserve">“big bang”</w:t>
      </w:r>
    </w:p>
    <w:p>
      <w:pPr>
        <w:pStyle w:val="Compact"/>
        <w:numPr>
          <w:ilvl w:val="0"/>
          <w:numId w:val="1023"/>
        </w:numPr>
      </w:pPr>
      <w:r>
        <w:t xml:space="preserve">Training costs are lower as existing skills remain valuable</w:t>
      </w:r>
    </w:p>
    <w:p>
      <w:pPr>
        <w:pStyle w:val="Compact"/>
        <w:numPr>
          <w:ilvl w:val="0"/>
          <w:numId w:val="1023"/>
        </w:numPr>
      </w:pPr>
      <w:r>
        <w:t xml:space="preserve">Maintenance costs are more predictable</w:t>
      </w:r>
    </w:p>
    <w:p>
      <w:pPr>
        <w:pStyle w:val="Compact"/>
        <w:numPr>
          <w:ilvl w:val="0"/>
          <w:numId w:val="1023"/>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15"/>
    <w:bookmarkStart w:id="116"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4"/>
        </w:numPr>
      </w:pPr>
      <w:r>
        <w:t xml:space="preserve">Higher Net Promoter Scores (NPS)</w:t>
      </w:r>
    </w:p>
    <w:p>
      <w:pPr>
        <w:pStyle w:val="Compact"/>
        <w:numPr>
          <w:ilvl w:val="0"/>
          <w:numId w:val="1024"/>
        </w:numPr>
      </w:pPr>
      <w:r>
        <w:t xml:space="preserve">Lower customer churn rates</w:t>
      </w:r>
    </w:p>
    <w:p>
      <w:pPr>
        <w:pStyle w:val="Compact"/>
        <w:numPr>
          <w:ilvl w:val="0"/>
          <w:numId w:val="1024"/>
        </w:numPr>
      </w:pPr>
      <w:r>
        <w:t xml:space="preserve">Increased share of wallet</w:t>
      </w:r>
    </w:p>
    <w:p>
      <w:pPr>
        <w:pStyle w:val="Compact"/>
        <w:numPr>
          <w:ilvl w:val="0"/>
          <w:numId w:val="1024"/>
        </w:numPr>
      </w:pPr>
      <w:r>
        <w:t xml:space="preserve">More effective cross-selling</w:t>
      </w:r>
    </w:p>
    <w:p>
      <w:pPr>
        <w:pStyle w:val="Compact"/>
        <w:numPr>
          <w:ilvl w:val="0"/>
          <w:numId w:val="1024"/>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16"/>
    <w:bookmarkStart w:id="117"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25"/>
        </w:numPr>
      </w:pPr>
      <w:r>
        <w:t xml:space="preserve">Build on existing competitive advantages rather than trying to create new ones</w:t>
      </w:r>
    </w:p>
    <w:p>
      <w:pPr>
        <w:pStyle w:val="Compact"/>
        <w:numPr>
          <w:ilvl w:val="0"/>
          <w:numId w:val="1025"/>
        </w:numPr>
      </w:pPr>
      <w:r>
        <w:t xml:space="preserve">Combine proprietary data with human judgment in ways that are harder to replicate</w:t>
      </w:r>
    </w:p>
    <w:p>
      <w:pPr>
        <w:pStyle w:val="Compact"/>
        <w:numPr>
          <w:ilvl w:val="0"/>
          <w:numId w:val="1025"/>
        </w:numPr>
      </w:pPr>
      <w:r>
        <w:t xml:space="preserve">Create positive feedback loops between AI systems and human expertise</w:t>
      </w:r>
    </w:p>
    <w:p>
      <w:pPr>
        <w:pStyle w:val="Compact"/>
        <w:numPr>
          <w:ilvl w:val="0"/>
          <w:numId w:val="1025"/>
        </w:numPr>
      </w:pPr>
      <w:r>
        <w:t xml:space="preserve">Generate company-specific insights that go beyond generic AI capabilities</w:t>
      </w:r>
    </w:p>
    <w:p>
      <w:pPr>
        <w:pStyle w:val="Compact"/>
        <w:numPr>
          <w:ilvl w:val="0"/>
          <w:numId w:val="1025"/>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17"/>
    <w:bookmarkStart w:id="118"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6"/>
        </w:numPr>
      </w:pPr>
      <w:r>
        <w:t xml:space="preserve">It maintains clear human accountability for decisions</w:t>
      </w:r>
    </w:p>
    <w:p>
      <w:pPr>
        <w:pStyle w:val="Compact"/>
        <w:numPr>
          <w:ilvl w:val="0"/>
          <w:numId w:val="1026"/>
        </w:numPr>
      </w:pPr>
      <w:r>
        <w:t xml:space="preserve">It creates fewer labor relations issues</w:t>
      </w:r>
    </w:p>
    <w:p>
      <w:pPr>
        <w:pStyle w:val="Compact"/>
        <w:numPr>
          <w:ilvl w:val="0"/>
          <w:numId w:val="1026"/>
        </w:numPr>
      </w:pPr>
      <w:r>
        <w:t xml:space="preserve">It raises fewer privacy and algorithmic bias concerns</w:t>
      </w:r>
    </w:p>
    <w:p>
      <w:pPr>
        <w:pStyle w:val="Compact"/>
        <w:numPr>
          <w:ilvl w:val="0"/>
          <w:numId w:val="1026"/>
        </w:numPr>
      </w:pPr>
      <w:r>
        <w:t xml:space="preserve">It aligns better with existing regulatory frameworks</w:t>
      </w:r>
    </w:p>
    <w:p>
      <w:pPr>
        <w:pStyle w:val="Compact"/>
        <w:numPr>
          <w:ilvl w:val="0"/>
          <w:numId w:val="1026"/>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8"/>
    <w:bookmarkEnd w:id="119"/>
    <w:bookmarkStart w:id="123"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20"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7"/>
        </w:numPr>
      </w:pPr>
      <w:r>
        <w:t xml:space="preserve">Semiconductor manufacturers (especially those focused on AI-specific chips)</w:t>
      </w:r>
    </w:p>
    <w:p>
      <w:pPr>
        <w:pStyle w:val="Compact"/>
        <w:numPr>
          <w:ilvl w:val="0"/>
          <w:numId w:val="1027"/>
        </w:numPr>
      </w:pPr>
      <w:r>
        <w:t xml:space="preserve">Cloud computing platforms</w:t>
      </w:r>
    </w:p>
    <w:p>
      <w:pPr>
        <w:pStyle w:val="Compact"/>
        <w:numPr>
          <w:ilvl w:val="0"/>
          <w:numId w:val="1027"/>
        </w:numPr>
      </w:pPr>
      <w:r>
        <w:t xml:space="preserve">Specialized AI infrastructure (vector databases, AI development tools)</w:t>
      </w:r>
    </w:p>
    <w:p>
      <w:pPr>
        <w:pStyle w:val="Compact"/>
        <w:numPr>
          <w:ilvl w:val="0"/>
          <w:numId w:val="1027"/>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20"/>
    <w:bookmarkStart w:id="121"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8"/>
        </w:numPr>
      </w:pPr>
      <w:r>
        <w:t xml:space="preserve">Deep understanding of specific industry workflows</w:t>
      </w:r>
    </w:p>
    <w:p>
      <w:pPr>
        <w:pStyle w:val="Compact"/>
        <w:numPr>
          <w:ilvl w:val="0"/>
          <w:numId w:val="1028"/>
        </w:numPr>
      </w:pPr>
      <w:r>
        <w:t xml:space="preserve">Ability to integrate with existing systems</w:t>
      </w:r>
    </w:p>
    <w:p>
      <w:pPr>
        <w:pStyle w:val="Compact"/>
        <w:numPr>
          <w:ilvl w:val="0"/>
          <w:numId w:val="1028"/>
        </w:numPr>
      </w:pPr>
      <w:r>
        <w:t xml:space="preserve">Strong focus on user experience</w:t>
      </w:r>
    </w:p>
    <w:p>
      <w:pPr>
        <w:pStyle w:val="Compact"/>
        <w:numPr>
          <w:ilvl w:val="0"/>
          <w:numId w:val="1028"/>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21"/>
    <w:bookmarkStart w:id="122"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9"/>
        </w:numPr>
      </w:pPr>
      <w:r>
        <w:t xml:space="preserve">Strong existing market positions</w:t>
      </w:r>
    </w:p>
    <w:p>
      <w:pPr>
        <w:pStyle w:val="Compact"/>
        <w:numPr>
          <w:ilvl w:val="0"/>
          <w:numId w:val="1029"/>
        </w:numPr>
      </w:pPr>
      <w:r>
        <w:t xml:space="preserve">Significant proprietary data assets</w:t>
      </w:r>
    </w:p>
    <w:p>
      <w:pPr>
        <w:pStyle w:val="Compact"/>
        <w:numPr>
          <w:ilvl w:val="0"/>
          <w:numId w:val="1029"/>
        </w:numPr>
      </w:pPr>
      <w:r>
        <w:t xml:space="preserve">Culture of technological innovation</w:t>
      </w:r>
    </w:p>
    <w:p>
      <w:pPr>
        <w:pStyle w:val="Compact"/>
        <w:numPr>
          <w:ilvl w:val="0"/>
          <w:numId w:val="1029"/>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22"/>
    <w:bookmarkEnd w:id="123"/>
    <w:bookmarkStart w:id="124"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30"/>
        </w:numPr>
      </w:pPr>
      <w:r>
        <w:t xml:space="preserve">Overestimating AI capabilities</w:t>
      </w:r>
    </w:p>
    <w:p>
      <w:pPr>
        <w:pStyle w:val="Compact"/>
        <w:numPr>
          <w:ilvl w:val="0"/>
          <w:numId w:val="1030"/>
        </w:numPr>
      </w:pPr>
      <w:r>
        <w:t xml:space="preserve">Underinvesting in human capital</w:t>
      </w:r>
    </w:p>
    <w:p>
      <w:pPr>
        <w:pStyle w:val="Compact"/>
        <w:numPr>
          <w:ilvl w:val="0"/>
          <w:numId w:val="1030"/>
        </w:numPr>
      </w:pPr>
      <w:r>
        <w:t xml:space="preserve">Poor integration with existing workflows</w:t>
      </w:r>
    </w:p>
    <w:p>
      <w:pPr>
        <w:pStyle w:val="Compact"/>
        <w:numPr>
          <w:ilvl w:val="0"/>
          <w:numId w:val="1030"/>
        </w:numPr>
      </w:pPr>
      <w:r>
        <w:t xml:space="preserve">Misaligned incentives</w:t>
      </w:r>
    </w:p>
    <w:p>
      <w:pPr>
        <w:pStyle w:val="Compact"/>
        <w:numPr>
          <w:ilvl w:val="0"/>
          <w:numId w:val="1030"/>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31"/>
        </w:numPr>
      </w:pPr>
      <w:r>
        <w:t xml:space="preserve">How does AI fit into the company’s competitive strategy?</w:t>
      </w:r>
    </w:p>
    <w:p>
      <w:pPr>
        <w:pStyle w:val="Compact"/>
        <w:numPr>
          <w:ilvl w:val="0"/>
          <w:numId w:val="1031"/>
        </w:numPr>
      </w:pPr>
      <w:r>
        <w:t xml:space="preserve">What is the balance between automation and enhancement?</w:t>
      </w:r>
    </w:p>
    <w:p>
      <w:pPr>
        <w:pStyle w:val="Compact"/>
        <w:numPr>
          <w:ilvl w:val="0"/>
          <w:numId w:val="1031"/>
        </w:numPr>
      </w:pPr>
      <w:r>
        <w:t xml:space="preserve">How are they measuring success?</w:t>
      </w:r>
    </w:p>
    <w:p>
      <w:pPr>
        <w:pStyle w:val="Compact"/>
        <w:numPr>
          <w:ilvl w:val="0"/>
          <w:numId w:val="1031"/>
        </w:numPr>
      </w:pPr>
      <w:r>
        <w:t xml:space="preserve">What is their approach to training and retaining key employees?</w:t>
      </w:r>
    </w:p>
    <w:p>
      <w:pPr>
        <w:pStyle w:val="Compact"/>
        <w:numPr>
          <w:ilvl w:val="0"/>
          <w:numId w:val="1031"/>
        </w:numPr>
      </w:pPr>
      <w:r>
        <w:t xml:space="preserve">How are they managing data quality and governance?</w:t>
      </w:r>
    </w:p>
    <w:bookmarkEnd w:id="124"/>
    <w:bookmarkStart w:id="125"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2"/>
        </w:numPr>
      </w:pPr>
      <w:r>
        <w:t xml:space="preserve">Quality of data assets</w:t>
      </w:r>
    </w:p>
    <w:p>
      <w:pPr>
        <w:pStyle w:val="Compact"/>
        <w:numPr>
          <w:ilvl w:val="0"/>
          <w:numId w:val="1032"/>
        </w:numPr>
      </w:pPr>
      <w:r>
        <w:t xml:space="preserve">Effectiveness of human-AI integration</w:t>
      </w:r>
    </w:p>
    <w:p>
      <w:pPr>
        <w:pStyle w:val="Compact"/>
        <w:numPr>
          <w:ilvl w:val="0"/>
          <w:numId w:val="1032"/>
        </w:numPr>
      </w:pPr>
      <w:r>
        <w:t xml:space="preserve">Sustainability of competitive advantages</w:t>
      </w:r>
    </w:p>
    <w:p>
      <w:pPr>
        <w:pStyle w:val="Compact"/>
        <w:numPr>
          <w:ilvl w:val="0"/>
          <w:numId w:val="1032"/>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3"/>
        </w:numPr>
      </w:pPr>
      <w:r>
        <w:t xml:space="preserve">Higher revenue per employee</w:t>
      </w:r>
    </w:p>
    <w:p>
      <w:pPr>
        <w:pStyle w:val="Compact"/>
        <w:numPr>
          <w:ilvl w:val="0"/>
          <w:numId w:val="1033"/>
        </w:numPr>
      </w:pPr>
      <w:r>
        <w:t xml:space="preserve">Better customer retention metrics</w:t>
      </w:r>
    </w:p>
    <w:p>
      <w:pPr>
        <w:pStyle w:val="Compact"/>
        <w:numPr>
          <w:ilvl w:val="0"/>
          <w:numId w:val="1033"/>
        </w:numPr>
      </w:pPr>
      <w:r>
        <w:t xml:space="preserve">More sustainable margins</w:t>
      </w:r>
    </w:p>
    <w:p>
      <w:pPr>
        <w:pStyle w:val="Compact"/>
        <w:numPr>
          <w:ilvl w:val="0"/>
          <w:numId w:val="1033"/>
        </w:numPr>
      </w:pPr>
      <w:r>
        <w:t xml:space="preserve">Lower regulatory risk</w:t>
      </w:r>
    </w:p>
    <w:p>
      <w:pPr>
        <w:pStyle w:val="Compact"/>
        <w:numPr>
          <w:ilvl w:val="0"/>
          <w:numId w:val="1033"/>
        </w:numPr>
      </w:pPr>
      <w:r>
        <w:t xml:space="preserve">Higher returns on invested capital</w:t>
      </w:r>
    </w:p>
    <w:bookmarkEnd w:id="125"/>
    <w:bookmarkStart w:id="126"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4"/>
        </w:numPr>
      </w:pPr>
      <w:r>
        <w:t xml:space="preserve">Initial productivity improvements</w:t>
      </w:r>
    </w:p>
    <w:p>
      <w:pPr>
        <w:pStyle w:val="Compact"/>
        <w:numPr>
          <w:ilvl w:val="0"/>
          <w:numId w:val="1034"/>
        </w:numPr>
      </w:pPr>
      <w:r>
        <w:t xml:space="preserve">Gradual competitive advantages</w:t>
      </w:r>
    </w:p>
    <w:p>
      <w:pPr>
        <w:pStyle w:val="Compact"/>
        <w:numPr>
          <w:ilvl w:val="0"/>
          <w:numId w:val="1034"/>
        </w:numPr>
      </w:pPr>
      <w:r>
        <w:t xml:space="preserve">Expanding use cases</w:t>
      </w:r>
    </w:p>
    <w:p>
      <w:pPr>
        <w:pStyle w:val="Compact"/>
        <w:numPr>
          <w:ilvl w:val="0"/>
          <w:numId w:val="1034"/>
        </w:numPr>
      </w:pPr>
      <w:r>
        <w:t xml:space="preserve">Network effects</w:t>
      </w:r>
    </w:p>
    <w:p>
      <w:pPr>
        <w:pStyle w:val="Compact"/>
        <w:numPr>
          <w:ilvl w:val="0"/>
          <w:numId w:val="1034"/>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26"/>
    <w:bookmarkStart w:id="127"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5"/>
        </w:numPr>
      </w:pPr>
      <w:r>
        <w:t xml:space="preserve">East Asia (particularly in hardware and manufacturing applications)</w:t>
      </w:r>
    </w:p>
    <w:p>
      <w:pPr>
        <w:pStyle w:val="Compact"/>
        <w:numPr>
          <w:ilvl w:val="0"/>
          <w:numId w:val="1035"/>
        </w:numPr>
      </w:pPr>
      <w:r>
        <w:t xml:space="preserve">Europe (especially in industrial and healthcare applications)</w:t>
      </w:r>
    </w:p>
    <w:p>
      <w:pPr>
        <w:pStyle w:val="Compact"/>
        <w:numPr>
          <w:ilvl w:val="0"/>
          <w:numId w:val="1035"/>
        </w:numPr>
      </w:pPr>
      <w:r>
        <w:t xml:space="preserve">Israel (security and enterprise applications)</w:t>
      </w:r>
    </w:p>
    <w:p>
      <w:pPr>
        <w:pStyle w:val="Compact"/>
        <w:numPr>
          <w:ilvl w:val="0"/>
          <w:numId w:val="1035"/>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27"/>
    <w:bookmarkStart w:id="128"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6"/>
        </w:numPr>
      </w:pPr>
      <w:r>
        <w:t xml:space="preserve">Less political opposition</w:t>
      </w:r>
    </w:p>
    <w:p>
      <w:pPr>
        <w:pStyle w:val="Compact"/>
        <w:numPr>
          <w:ilvl w:val="0"/>
          <w:numId w:val="1036"/>
        </w:numPr>
      </w:pPr>
      <w:r>
        <w:t xml:space="preserve">Fewer labor disputes</w:t>
      </w:r>
    </w:p>
    <w:p>
      <w:pPr>
        <w:pStyle w:val="Compact"/>
        <w:numPr>
          <w:ilvl w:val="0"/>
          <w:numId w:val="1036"/>
        </w:numPr>
      </w:pPr>
      <w:r>
        <w:t xml:space="preserve">More manageable liability issues</w:t>
      </w:r>
    </w:p>
    <w:p>
      <w:pPr>
        <w:pStyle w:val="Compact"/>
        <w:numPr>
          <w:ilvl w:val="0"/>
          <w:numId w:val="1036"/>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7"/>
        </w:numPr>
      </w:pPr>
      <w:r>
        <w:t xml:space="preserve">Data privacy and security</w:t>
      </w:r>
    </w:p>
    <w:p>
      <w:pPr>
        <w:pStyle w:val="Compact"/>
        <w:numPr>
          <w:ilvl w:val="0"/>
          <w:numId w:val="1037"/>
        </w:numPr>
      </w:pPr>
      <w:r>
        <w:t xml:space="preserve">Algorithm transparency</w:t>
      </w:r>
    </w:p>
    <w:p>
      <w:pPr>
        <w:pStyle w:val="Compact"/>
        <w:numPr>
          <w:ilvl w:val="0"/>
          <w:numId w:val="1037"/>
        </w:numPr>
      </w:pPr>
      <w:r>
        <w:t xml:space="preserve">Worker protection</w:t>
      </w:r>
    </w:p>
    <w:p>
      <w:pPr>
        <w:pStyle w:val="Compact"/>
        <w:numPr>
          <w:ilvl w:val="0"/>
          <w:numId w:val="1037"/>
        </w:numPr>
      </w:pPr>
      <w:r>
        <w:t xml:space="preserve">Industry-specific requirements</w:t>
      </w:r>
    </w:p>
    <w:bookmarkEnd w:id="128"/>
    <w:bookmarkStart w:id="135"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8"/>
        </w:numPr>
      </w:pPr>
      <w:r>
        <w:t xml:space="preserve">Focus on sustainable competitive advantages rather than technical leadership</w:t>
      </w:r>
    </w:p>
    <w:p>
      <w:pPr>
        <w:pStyle w:val="Compact"/>
        <w:numPr>
          <w:ilvl w:val="0"/>
          <w:numId w:val="1038"/>
        </w:numPr>
      </w:pPr>
      <w:r>
        <w:t xml:space="preserve">Prioritize companies with clear enhancement use cases</w:t>
      </w:r>
    </w:p>
    <w:p>
      <w:pPr>
        <w:pStyle w:val="Compact"/>
        <w:numPr>
          <w:ilvl w:val="0"/>
          <w:numId w:val="1038"/>
        </w:numPr>
      </w:pPr>
      <w:r>
        <w:t xml:space="preserve">Look for strong data assets and implementation capabilities</w:t>
      </w:r>
    </w:p>
    <w:p>
      <w:pPr>
        <w:pStyle w:val="Compact"/>
        <w:numPr>
          <w:ilvl w:val="0"/>
          <w:numId w:val="1038"/>
        </w:numPr>
      </w:pPr>
      <w:r>
        <w:t xml:space="preserve">Consider timing and geographic diversification</w:t>
      </w:r>
    </w:p>
    <w:p>
      <w:pPr>
        <w:pStyle w:val="Compact"/>
        <w:numPr>
          <w:ilvl w:val="0"/>
          <w:numId w:val="1038"/>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29"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9"/>
        </w:numPr>
      </w:pPr>
      <w:r>
        <w:t xml:space="preserve">Network effects from combined human-AI systems</w:t>
      </w:r>
    </w:p>
    <w:p>
      <w:pPr>
        <w:pStyle w:val="Compact"/>
        <w:numPr>
          <w:ilvl w:val="0"/>
          <w:numId w:val="1039"/>
        </w:numPr>
      </w:pPr>
      <w:r>
        <w:t xml:space="preserve">Proprietary data moats</w:t>
      </w:r>
    </w:p>
    <w:p>
      <w:pPr>
        <w:pStyle w:val="Compact"/>
        <w:numPr>
          <w:ilvl w:val="0"/>
          <w:numId w:val="1039"/>
        </w:numPr>
      </w:pPr>
      <w:r>
        <w:t xml:space="preserve">Organizational learning capabilities</w:t>
      </w:r>
    </w:p>
    <w:p>
      <w:pPr>
        <w:pStyle w:val="Compact"/>
        <w:numPr>
          <w:ilvl w:val="0"/>
          <w:numId w:val="1039"/>
        </w:numPr>
      </w:pPr>
      <w:r>
        <w:t xml:space="preserve">Cultural adaptability to technological change</w:t>
      </w:r>
    </w:p>
    <w:p>
      <w:pPr>
        <w:pStyle w:val="Compact"/>
        <w:numPr>
          <w:ilvl w:val="0"/>
          <w:numId w:val="1039"/>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29"/>
    <w:bookmarkStart w:id="130"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40"/>
        </w:numPr>
      </w:pPr>
      <w:r>
        <w:t xml:space="preserve">Direct impact on customer value proposition</w:t>
      </w:r>
    </w:p>
    <w:p>
      <w:pPr>
        <w:pStyle w:val="Compact"/>
        <w:numPr>
          <w:ilvl w:val="0"/>
          <w:numId w:val="1040"/>
        </w:numPr>
      </w:pPr>
      <w:r>
        <w:t xml:space="preserve">Integration with existing workflows</w:t>
      </w:r>
    </w:p>
    <w:p>
      <w:pPr>
        <w:pStyle w:val="Compact"/>
        <w:numPr>
          <w:ilvl w:val="0"/>
          <w:numId w:val="1040"/>
        </w:numPr>
      </w:pPr>
      <w:r>
        <w:t xml:space="preserve">Clear metrics for success</w:t>
      </w:r>
    </w:p>
    <w:p>
      <w:pPr>
        <w:pStyle w:val="Compact"/>
        <w:numPr>
          <w:ilvl w:val="0"/>
          <w:numId w:val="1040"/>
        </w:numPr>
      </w:pPr>
      <w:r>
        <w:t xml:space="preserve">Scalability of enhancement effects</w:t>
      </w:r>
    </w:p>
    <w:p>
      <w:pPr>
        <w:pStyle w:val="Compact"/>
        <w:numPr>
          <w:ilvl w:val="0"/>
          <w:numId w:val="1040"/>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30"/>
    <w:bookmarkStart w:id="131"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41"/>
        </w:numPr>
      </w:pPr>
      <w:r>
        <w:t xml:space="preserve">Quality and uniqueness of proprietary data</w:t>
      </w:r>
    </w:p>
    <w:p>
      <w:pPr>
        <w:pStyle w:val="Compact"/>
        <w:numPr>
          <w:ilvl w:val="0"/>
          <w:numId w:val="1041"/>
        </w:numPr>
      </w:pPr>
      <w:r>
        <w:t xml:space="preserve">Data governance and management capabilities</w:t>
      </w:r>
    </w:p>
    <w:p>
      <w:pPr>
        <w:pStyle w:val="Compact"/>
        <w:numPr>
          <w:ilvl w:val="0"/>
          <w:numId w:val="1041"/>
        </w:numPr>
      </w:pPr>
      <w:r>
        <w:t xml:space="preserve">Integration of structured and unstructured data</w:t>
      </w:r>
    </w:p>
    <w:p>
      <w:pPr>
        <w:pStyle w:val="Compact"/>
        <w:numPr>
          <w:ilvl w:val="0"/>
          <w:numId w:val="1041"/>
        </w:numPr>
      </w:pPr>
      <w:r>
        <w:t xml:space="preserve">Ability to combine human insight with machine learning</w:t>
      </w:r>
    </w:p>
    <w:p>
      <w:pPr>
        <w:pStyle w:val="Compact"/>
        <w:numPr>
          <w:ilvl w:val="0"/>
          <w:numId w:val="1041"/>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31"/>
    <w:bookmarkStart w:id="132"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2"/>
        </w:numPr>
      </w:pPr>
      <w:r>
        <w:t xml:space="preserve">Match investment timing to adoption curves</w:t>
      </w:r>
    </w:p>
    <w:p>
      <w:pPr>
        <w:pStyle w:val="Compact"/>
        <w:numPr>
          <w:ilvl w:val="0"/>
          <w:numId w:val="1042"/>
        </w:numPr>
      </w:pPr>
      <w:r>
        <w:t xml:space="preserve">Consider regional variations in AI maturity</w:t>
      </w:r>
    </w:p>
    <w:p>
      <w:pPr>
        <w:pStyle w:val="Compact"/>
        <w:numPr>
          <w:ilvl w:val="0"/>
          <w:numId w:val="1042"/>
        </w:numPr>
      </w:pPr>
      <w:r>
        <w:t xml:space="preserve">Account for industry-specific implementation challenges</w:t>
      </w:r>
    </w:p>
    <w:p>
      <w:pPr>
        <w:pStyle w:val="Compact"/>
        <w:numPr>
          <w:ilvl w:val="0"/>
          <w:numId w:val="1042"/>
        </w:numPr>
      </w:pPr>
      <w:r>
        <w:t xml:space="preserve">Balance early-mover advantages against execution risk</w:t>
      </w:r>
    </w:p>
    <w:p>
      <w:pPr>
        <w:pStyle w:val="Compact"/>
        <w:numPr>
          <w:ilvl w:val="0"/>
          <w:numId w:val="1042"/>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32"/>
    <w:bookmarkStart w:id="133"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3"/>
        </w:numPr>
      </w:pPr>
      <w:r>
        <w:t xml:space="preserve">Data privacy and protection requirements</w:t>
      </w:r>
    </w:p>
    <w:p>
      <w:pPr>
        <w:pStyle w:val="Compact"/>
        <w:numPr>
          <w:ilvl w:val="0"/>
          <w:numId w:val="1043"/>
        </w:numPr>
      </w:pPr>
      <w:r>
        <w:t xml:space="preserve">Algorithm transparency standards</w:t>
      </w:r>
    </w:p>
    <w:p>
      <w:pPr>
        <w:pStyle w:val="Compact"/>
        <w:numPr>
          <w:ilvl w:val="0"/>
          <w:numId w:val="1043"/>
        </w:numPr>
      </w:pPr>
      <w:r>
        <w:t xml:space="preserve">Industry-specific regulations</w:t>
      </w:r>
    </w:p>
    <w:p>
      <w:pPr>
        <w:pStyle w:val="Compact"/>
        <w:numPr>
          <w:ilvl w:val="0"/>
          <w:numId w:val="1043"/>
        </w:numPr>
      </w:pPr>
      <w:r>
        <w:t xml:space="preserve">Cross-border data flow restrictions</w:t>
      </w:r>
    </w:p>
    <w:p>
      <w:pPr>
        <w:pStyle w:val="Compact"/>
        <w:numPr>
          <w:ilvl w:val="0"/>
          <w:numId w:val="1043"/>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33"/>
    <w:bookmarkStart w:id="134"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4"/>
        </w:numPr>
      </w:pPr>
      <w:r>
        <w:t xml:space="preserve">Clear strategic intent aligned with core competencies</w:t>
      </w:r>
    </w:p>
    <w:p>
      <w:pPr>
        <w:pStyle w:val="Compact"/>
        <w:numPr>
          <w:ilvl w:val="0"/>
          <w:numId w:val="1044"/>
        </w:numPr>
      </w:pPr>
      <w:r>
        <w:t xml:space="preserve">Focus on human-AI synergies rather than replacement</w:t>
      </w:r>
    </w:p>
    <w:p>
      <w:pPr>
        <w:pStyle w:val="Compact"/>
        <w:numPr>
          <w:ilvl w:val="0"/>
          <w:numId w:val="1044"/>
        </w:numPr>
      </w:pPr>
      <w:r>
        <w:t xml:space="preserve">Iterative implementation with clear feedback loops</w:t>
      </w:r>
    </w:p>
    <w:p>
      <w:pPr>
        <w:pStyle w:val="Compact"/>
        <w:numPr>
          <w:ilvl w:val="0"/>
          <w:numId w:val="1044"/>
        </w:numPr>
      </w:pPr>
      <w:r>
        <w:t xml:space="preserve">Strong change management capabilities</w:t>
      </w:r>
    </w:p>
    <w:p>
      <w:pPr>
        <w:pStyle w:val="Compact"/>
        <w:numPr>
          <w:ilvl w:val="0"/>
          <w:numId w:val="1044"/>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34"/>
    <w:bookmarkEnd w:id="135"/>
    <w:bookmarkStart w:id="136"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36"/>
    <w:bookmarkEnd w:id="137"/>
    <w:bookmarkStart w:id="150"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38"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38"/>
    <w:bookmarkStart w:id="139"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5"/>
        </w:numPr>
      </w:pPr>
      <w:r>
        <w:t xml:space="preserve">Starting with human workflows rather than technical capabilities</w:t>
      </w:r>
    </w:p>
    <w:p>
      <w:pPr>
        <w:pStyle w:val="Compact"/>
        <w:numPr>
          <w:ilvl w:val="1"/>
          <w:numId w:val="1046"/>
        </w:numPr>
      </w:pPr>
      <w:r>
        <w:t xml:space="preserve">Map existing decision processes</w:t>
      </w:r>
    </w:p>
    <w:p>
      <w:pPr>
        <w:pStyle w:val="Compact"/>
        <w:numPr>
          <w:ilvl w:val="1"/>
          <w:numId w:val="1046"/>
        </w:numPr>
      </w:pPr>
      <w:r>
        <w:t xml:space="preserve">Identify areas where human judgment is crucial</w:t>
      </w:r>
    </w:p>
    <w:p>
      <w:pPr>
        <w:pStyle w:val="Compact"/>
        <w:numPr>
          <w:ilvl w:val="1"/>
          <w:numId w:val="1046"/>
        </w:numPr>
      </w:pPr>
      <w:r>
        <w:t xml:space="preserve">Look for opportunities to augment rather than replace human capabilities</w:t>
      </w:r>
    </w:p>
    <w:p>
      <w:pPr>
        <w:pStyle w:val="Compact"/>
        <w:numPr>
          <w:ilvl w:val="0"/>
          <w:numId w:val="1045"/>
        </w:numPr>
      </w:pPr>
      <w:r>
        <w:t xml:space="preserve">Building trust through transparency</w:t>
      </w:r>
    </w:p>
    <w:p>
      <w:pPr>
        <w:pStyle w:val="Compact"/>
        <w:numPr>
          <w:ilvl w:val="1"/>
          <w:numId w:val="1047"/>
        </w:numPr>
      </w:pPr>
      <w:r>
        <w:t xml:space="preserve">Ensure AI systems provide explanations for their recommendations</w:t>
      </w:r>
    </w:p>
    <w:p>
      <w:pPr>
        <w:pStyle w:val="Compact"/>
        <w:numPr>
          <w:ilvl w:val="1"/>
          <w:numId w:val="1047"/>
        </w:numPr>
      </w:pPr>
      <w:r>
        <w:t xml:space="preserve">Maintain clear accountability for decisions</w:t>
      </w:r>
    </w:p>
    <w:p>
      <w:pPr>
        <w:pStyle w:val="Compact"/>
        <w:numPr>
          <w:ilvl w:val="1"/>
          <w:numId w:val="1047"/>
        </w:numPr>
      </w:pPr>
      <w:r>
        <w:t xml:space="preserve">Create feedback loops between human operators and AI systems</w:t>
      </w:r>
    </w:p>
    <w:p>
      <w:pPr>
        <w:pStyle w:val="Compact"/>
        <w:numPr>
          <w:ilvl w:val="0"/>
          <w:numId w:val="1045"/>
        </w:numPr>
      </w:pPr>
      <w:r>
        <w:t xml:space="preserve">Investing in human capital alongside AI capabilities</w:t>
      </w:r>
    </w:p>
    <w:p>
      <w:pPr>
        <w:pStyle w:val="Compact"/>
        <w:numPr>
          <w:ilvl w:val="1"/>
          <w:numId w:val="1048"/>
        </w:numPr>
      </w:pPr>
      <w:r>
        <w:t xml:space="preserve">Train workers to effectively collaborate with AI systems</w:t>
      </w:r>
    </w:p>
    <w:p>
      <w:pPr>
        <w:pStyle w:val="Compact"/>
        <w:numPr>
          <w:ilvl w:val="1"/>
          <w:numId w:val="1048"/>
        </w:numPr>
      </w:pPr>
      <w:r>
        <w:t xml:space="preserve">Develop new roles that leverage uniquely human skills</w:t>
      </w:r>
    </w:p>
    <w:p>
      <w:pPr>
        <w:pStyle w:val="Compact"/>
        <w:numPr>
          <w:ilvl w:val="1"/>
          <w:numId w:val="1048"/>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39"/>
    <w:bookmarkStart w:id="143"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40"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9"/>
        </w:numPr>
      </w:pPr>
      <w:r>
        <w:t xml:space="preserve">Mandatory human review of AI-generated content in sensitive contexts</w:t>
      </w:r>
    </w:p>
    <w:p>
      <w:pPr>
        <w:pStyle w:val="Compact"/>
        <w:numPr>
          <w:ilvl w:val="0"/>
          <w:numId w:val="1049"/>
        </w:numPr>
      </w:pPr>
      <w:r>
        <w:t xml:space="preserve">Requirements for human oversight in high-stakes medical or financial decisions</w:t>
      </w:r>
    </w:p>
    <w:p>
      <w:pPr>
        <w:pStyle w:val="Compact"/>
        <w:numPr>
          <w:ilvl w:val="0"/>
          <w:numId w:val="1049"/>
        </w:numPr>
      </w:pPr>
      <w:r>
        <w:t xml:space="preserve">Preservation of human judgment in legal proceedings</w:t>
      </w:r>
    </w:p>
    <w:bookmarkEnd w:id="140"/>
    <w:bookmarkStart w:id="141"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50"/>
        </w:numPr>
      </w:pPr>
      <w:r>
        <w:t xml:space="preserve">Healthcare decisions</w:t>
      </w:r>
    </w:p>
    <w:p>
      <w:pPr>
        <w:pStyle w:val="Compact"/>
        <w:numPr>
          <w:ilvl w:val="0"/>
          <w:numId w:val="1050"/>
        </w:numPr>
      </w:pPr>
      <w:r>
        <w:t xml:space="preserve">Financial advice</w:t>
      </w:r>
    </w:p>
    <w:p>
      <w:pPr>
        <w:pStyle w:val="Compact"/>
        <w:numPr>
          <w:ilvl w:val="0"/>
          <w:numId w:val="1050"/>
        </w:numPr>
      </w:pPr>
      <w:r>
        <w:t xml:space="preserve">Legal proceedings</w:t>
      </w:r>
    </w:p>
    <w:p>
      <w:pPr>
        <w:pStyle w:val="Compact"/>
        <w:numPr>
          <w:ilvl w:val="0"/>
          <w:numId w:val="1050"/>
        </w:numPr>
      </w:pPr>
      <w:r>
        <w:t xml:space="preserve">Educational assessments</w:t>
      </w:r>
    </w:p>
    <w:bookmarkEnd w:id="141"/>
    <w:bookmarkStart w:id="142"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51"/>
        </w:numPr>
      </w:pPr>
      <w:r>
        <w:t xml:space="preserve">Give individuals control over their personal data</w:t>
      </w:r>
    </w:p>
    <w:p>
      <w:pPr>
        <w:pStyle w:val="Compact"/>
        <w:numPr>
          <w:ilvl w:val="0"/>
          <w:numId w:val="1051"/>
        </w:numPr>
      </w:pPr>
      <w:r>
        <w:t xml:space="preserve">Require explicit consent for AI training</w:t>
      </w:r>
    </w:p>
    <w:p>
      <w:pPr>
        <w:pStyle w:val="Compact"/>
        <w:numPr>
          <w:ilvl w:val="0"/>
          <w:numId w:val="1051"/>
        </w:numPr>
      </w:pPr>
      <w:r>
        <w:t xml:space="preserve">Ensure transparency in how personal data is used</w:t>
      </w:r>
    </w:p>
    <w:p>
      <w:pPr>
        <w:pStyle w:val="Compact"/>
        <w:numPr>
          <w:ilvl w:val="0"/>
          <w:numId w:val="1051"/>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42"/>
    <w:bookmarkEnd w:id="143"/>
    <w:bookmarkStart w:id="144"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2"/>
        </w:numPr>
      </w:pPr>
      <w:r>
        <w:t xml:space="preserve">Evaluate companies based on their approach to human-AI collaboration</w:t>
      </w:r>
    </w:p>
    <w:p>
      <w:pPr>
        <w:pStyle w:val="Compact"/>
        <w:numPr>
          <w:ilvl w:val="1"/>
          <w:numId w:val="1053"/>
        </w:numPr>
      </w:pPr>
      <w:r>
        <w:t xml:space="preserve">Look for evidence of enhancement rather than pure automation strategies</w:t>
      </w:r>
    </w:p>
    <w:p>
      <w:pPr>
        <w:pStyle w:val="Compact"/>
        <w:numPr>
          <w:ilvl w:val="1"/>
          <w:numId w:val="1053"/>
        </w:numPr>
      </w:pPr>
      <w:r>
        <w:t xml:space="preserve">Assess investments in human capital alongside AI capabilities</w:t>
      </w:r>
    </w:p>
    <w:p>
      <w:pPr>
        <w:pStyle w:val="Compact"/>
        <w:numPr>
          <w:ilvl w:val="1"/>
          <w:numId w:val="1053"/>
        </w:numPr>
      </w:pPr>
      <w:r>
        <w:t xml:space="preserve">Consider the sustainability of human-AI collaborative models</w:t>
      </w:r>
    </w:p>
    <w:p>
      <w:pPr>
        <w:pStyle w:val="Compact"/>
        <w:numPr>
          <w:ilvl w:val="0"/>
          <w:numId w:val="1052"/>
        </w:numPr>
      </w:pPr>
      <w:r>
        <w:t xml:space="preserve">Understand the limitations of pure AI plays</w:t>
      </w:r>
    </w:p>
    <w:p>
      <w:pPr>
        <w:pStyle w:val="Compact"/>
        <w:numPr>
          <w:ilvl w:val="1"/>
          <w:numId w:val="1054"/>
        </w:numPr>
      </w:pPr>
      <w:r>
        <w:t xml:space="preserve">Be skeptical of companies promising full automation</w:t>
      </w:r>
    </w:p>
    <w:p>
      <w:pPr>
        <w:pStyle w:val="Compact"/>
        <w:numPr>
          <w:ilvl w:val="1"/>
          <w:numId w:val="1054"/>
        </w:numPr>
      </w:pPr>
      <w:r>
        <w:t xml:space="preserve">Look for business models that leverage uniquely human capabilities</w:t>
      </w:r>
    </w:p>
    <w:p>
      <w:pPr>
        <w:pStyle w:val="Compact"/>
        <w:numPr>
          <w:ilvl w:val="1"/>
          <w:numId w:val="1054"/>
        </w:numPr>
      </w:pPr>
      <w:r>
        <w:t xml:space="preserve">Consider the regulatory and social acceptance risks of automation-first approaches</w:t>
      </w:r>
    </w:p>
    <w:p>
      <w:pPr>
        <w:pStyle w:val="Compact"/>
        <w:numPr>
          <w:ilvl w:val="0"/>
          <w:numId w:val="1052"/>
        </w:numPr>
      </w:pPr>
      <w:r>
        <w:t xml:space="preserve">Identify opportunities in human capital development</w:t>
      </w:r>
    </w:p>
    <w:p>
      <w:pPr>
        <w:pStyle w:val="Compact"/>
        <w:numPr>
          <w:ilvl w:val="1"/>
          <w:numId w:val="1055"/>
        </w:numPr>
      </w:pPr>
      <w:r>
        <w:t xml:space="preserve">Training and education providers</w:t>
      </w:r>
    </w:p>
    <w:p>
      <w:pPr>
        <w:pStyle w:val="Compact"/>
        <w:numPr>
          <w:ilvl w:val="1"/>
          <w:numId w:val="1055"/>
        </w:numPr>
      </w:pPr>
      <w:r>
        <w:t xml:space="preserve">Workflow tools that facilitate human-AI collaboration</w:t>
      </w:r>
    </w:p>
    <w:p>
      <w:pPr>
        <w:pStyle w:val="Compact"/>
        <w:numPr>
          <w:ilvl w:val="1"/>
          <w:numId w:val="1055"/>
        </w:numPr>
      </w:pPr>
      <w:r>
        <w:t xml:space="preserve">Companies developing explainable AI systems</w:t>
      </w:r>
    </w:p>
    <w:p>
      <w:pPr>
        <w:pStyle w:val="FirstParagraph"/>
      </w:pPr>
      <w:r>
        <w:t xml:space="preserve">[Chart: Performance comparison of companies with human-centric vs. automation-focused AI strategies]</w:t>
      </w:r>
    </w:p>
    <w:bookmarkEnd w:id="144"/>
    <w:bookmarkStart w:id="148"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45" w:name="for-business-leaders"/>
    <w:p>
      <w:pPr>
        <w:pStyle w:val="Heading3"/>
      </w:pPr>
      <w:r>
        <w:t xml:space="preserve">10.5.1 For Business Leaders:</w:t>
      </w:r>
    </w:p>
    <w:p>
      <w:pPr>
        <w:pStyle w:val="Compact"/>
        <w:numPr>
          <w:ilvl w:val="0"/>
          <w:numId w:val="1056"/>
        </w:numPr>
      </w:pPr>
      <w:r>
        <w:t xml:space="preserve">Shift focus from automation to enhancement</w:t>
      </w:r>
    </w:p>
    <w:p>
      <w:pPr>
        <w:pStyle w:val="Compact"/>
        <w:numPr>
          <w:ilvl w:val="0"/>
          <w:numId w:val="1056"/>
        </w:numPr>
      </w:pPr>
      <w:r>
        <w:t xml:space="preserve">Invest in human capital alongside AI capabilities</w:t>
      </w:r>
    </w:p>
    <w:p>
      <w:pPr>
        <w:pStyle w:val="Compact"/>
        <w:numPr>
          <w:ilvl w:val="0"/>
          <w:numId w:val="1056"/>
        </w:numPr>
      </w:pPr>
      <w:r>
        <w:t xml:space="preserve">Build trust through transparency and accountability</w:t>
      </w:r>
    </w:p>
    <w:p>
      <w:pPr>
        <w:pStyle w:val="Compact"/>
        <w:numPr>
          <w:ilvl w:val="0"/>
          <w:numId w:val="1056"/>
        </w:numPr>
      </w:pPr>
      <w:r>
        <w:t xml:space="preserve">Develop clear frameworks for human-AI collaboration</w:t>
      </w:r>
    </w:p>
    <w:bookmarkEnd w:id="145"/>
    <w:bookmarkStart w:id="146" w:name="for-policymakers"/>
    <w:p>
      <w:pPr>
        <w:pStyle w:val="Heading3"/>
      </w:pPr>
      <w:r>
        <w:t xml:space="preserve">10.5.2 For Policymakers:</w:t>
      </w:r>
    </w:p>
    <w:p>
      <w:pPr>
        <w:pStyle w:val="Compact"/>
        <w:numPr>
          <w:ilvl w:val="0"/>
          <w:numId w:val="1057"/>
        </w:numPr>
      </w:pPr>
      <w:r>
        <w:t xml:space="preserve">Create regulatory frameworks that preserve human agency</w:t>
      </w:r>
    </w:p>
    <w:p>
      <w:pPr>
        <w:pStyle w:val="Compact"/>
        <w:numPr>
          <w:ilvl w:val="0"/>
          <w:numId w:val="1057"/>
        </w:numPr>
      </w:pPr>
      <w:r>
        <w:t xml:space="preserve">Promote transparency and explainability</w:t>
      </w:r>
    </w:p>
    <w:p>
      <w:pPr>
        <w:pStyle w:val="Compact"/>
        <w:numPr>
          <w:ilvl w:val="0"/>
          <w:numId w:val="1057"/>
        </w:numPr>
      </w:pPr>
      <w:r>
        <w:t xml:space="preserve">Protect individual privacy and data rights</w:t>
      </w:r>
    </w:p>
    <w:p>
      <w:pPr>
        <w:pStyle w:val="Compact"/>
        <w:numPr>
          <w:ilvl w:val="0"/>
          <w:numId w:val="1057"/>
        </w:numPr>
      </w:pPr>
      <w:r>
        <w:t xml:space="preserve">Foster innovation while ensuring human-centric development</w:t>
      </w:r>
    </w:p>
    <w:bookmarkEnd w:id="146"/>
    <w:bookmarkStart w:id="147" w:name="for-society"/>
    <w:p>
      <w:pPr>
        <w:pStyle w:val="Heading3"/>
      </w:pPr>
      <w:r>
        <w:t xml:space="preserve">10.5.3 For Society:</w:t>
      </w:r>
    </w:p>
    <w:p>
      <w:pPr>
        <w:pStyle w:val="Compact"/>
        <w:numPr>
          <w:ilvl w:val="0"/>
          <w:numId w:val="1058"/>
        </w:numPr>
      </w:pPr>
      <w:r>
        <w:t xml:space="preserve">Emphasize education that develops uniquely human capabilities</w:t>
      </w:r>
    </w:p>
    <w:p>
      <w:pPr>
        <w:pStyle w:val="Compact"/>
        <w:numPr>
          <w:ilvl w:val="0"/>
          <w:numId w:val="1058"/>
        </w:numPr>
      </w:pPr>
      <w:r>
        <w:t xml:space="preserve">Build systems that amplify human judgment rather than replace it</w:t>
      </w:r>
    </w:p>
    <w:p>
      <w:pPr>
        <w:pStyle w:val="Compact"/>
        <w:numPr>
          <w:ilvl w:val="0"/>
          <w:numId w:val="1058"/>
        </w:numPr>
      </w:pPr>
      <w:r>
        <w:t xml:space="preserve">Maintain focus on human values and ethics in AI development</w:t>
      </w:r>
    </w:p>
    <w:p>
      <w:pPr>
        <w:pStyle w:val="Compact"/>
        <w:numPr>
          <w:ilvl w:val="0"/>
          <w:numId w:val="1058"/>
        </w:numPr>
      </w:pPr>
      <w:r>
        <w:t xml:space="preserve">Preserve space for human creativity and agency</w:t>
      </w:r>
    </w:p>
    <w:bookmarkEnd w:id="147"/>
    <w:bookmarkEnd w:id="148"/>
    <w:bookmarkStart w:id="149"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49"/>
    <w:bookmarkEnd w:id="150"/>
    <w:bookmarkStart w:id="151" w:name="summary"/>
    <w:p>
      <w:pPr>
        <w:pStyle w:val="Heading1"/>
      </w:pPr>
      <w:r>
        <w:t xml:space="preserve">Summary</w:t>
      </w:r>
    </w:p>
    <w:bookmarkEnd w:id="151"/>
    <w:bookmarkStart w:id="161"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9"/>
        </w:numPr>
      </w:pPr>
      <w:r>
        <w:t xml:space="preserve">Maintain human agency and judgment at the center of decision-making</w:t>
      </w:r>
    </w:p>
    <w:p>
      <w:pPr>
        <w:pStyle w:val="Compact"/>
        <w:numPr>
          <w:ilvl w:val="0"/>
          <w:numId w:val="1059"/>
        </w:numPr>
      </w:pPr>
      <w:r>
        <w:t xml:space="preserve">Design AI systems that complement rather than replace human capabilities</w:t>
      </w:r>
    </w:p>
    <w:p>
      <w:pPr>
        <w:pStyle w:val="Compact"/>
        <w:numPr>
          <w:ilvl w:val="0"/>
          <w:numId w:val="1059"/>
        </w:numPr>
      </w:pPr>
      <w:r>
        <w:t xml:space="preserve">Focus on transparency and explainability in AI systems</w:t>
      </w:r>
    </w:p>
    <w:p>
      <w:pPr>
        <w:pStyle w:val="Compact"/>
        <w:numPr>
          <w:ilvl w:val="0"/>
          <w:numId w:val="1059"/>
        </w:numPr>
      </w:pPr>
      <w:r>
        <w:t xml:space="preserve">Prioritize human-AI collaboration over full automation</w:t>
      </w:r>
    </w:p>
    <w:p>
      <w:pPr>
        <w:pStyle w:val="Compact"/>
        <w:numPr>
          <w:ilvl w:val="0"/>
          <w:numId w:val="1059"/>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60" w:name="author-dialog"/>
    <w:p>
      <w:pPr>
        <w:pStyle w:val="Heading2"/>
      </w:pPr>
      <w:r>
        <w:t xml:space="preserve">Author Dialog</w:t>
      </w:r>
    </w:p>
    <w:bookmarkStart w:id="152"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52"/>
    <w:bookmarkStart w:id="153"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53"/>
    <w:bookmarkStart w:id="154"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54"/>
    <w:bookmarkStart w:id="155"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55"/>
    <w:bookmarkStart w:id="156"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60"/>
        </w:numPr>
      </w:pPr>
      <w:r>
        <w:t xml:space="preserve">Maintain human agency and judgment at the center of decision-making</w:t>
      </w:r>
    </w:p>
    <w:p>
      <w:pPr>
        <w:pStyle w:val="Compact"/>
        <w:numPr>
          <w:ilvl w:val="0"/>
          <w:numId w:val="1060"/>
        </w:numPr>
      </w:pPr>
      <w:r>
        <w:t xml:space="preserve">Design AI systems that complement rather than replace human capabilities</w:t>
      </w:r>
    </w:p>
    <w:p>
      <w:pPr>
        <w:pStyle w:val="Compact"/>
        <w:numPr>
          <w:ilvl w:val="0"/>
          <w:numId w:val="1060"/>
        </w:numPr>
      </w:pPr>
      <w:r>
        <w:t xml:space="preserve">Focus on transparency and explainability in AI systems</w:t>
      </w:r>
    </w:p>
    <w:p>
      <w:pPr>
        <w:pStyle w:val="Compact"/>
        <w:numPr>
          <w:ilvl w:val="0"/>
          <w:numId w:val="1060"/>
        </w:numPr>
      </w:pPr>
      <w:r>
        <w:t xml:space="preserve">Prioritize human-AI collaboration over full automation</w:t>
      </w:r>
    </w:p>
    <w:p>
      <w:pPr>
        <w:pStyle w:val="Compact"/>
        <w:numPr>
          <w:ilvl w:val="0"/>
          <w:numId w:val="1060"/>
        </w:numPr>
      </w:pPr>
      <w:r>
        <w:t xml:space="preserve">Invest in human skill development alongside AI capabilities</w:t>
      </w:r>
    </w:p>
    <w:bookmarkEnd w:id="156"/>
    <w:bookmarkStart w:id="157"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61"/>
        </w:numPr>
      </w:pPr>
      <w:r>
        <w:t xml:space="preserve">Regulations requiring human oversight of critical AI systems</w:t>
      </w:r>
    </w:p>
    <w:p>
      <w:pPr>
        <w:pStyle w:val="Compact"/>
        <w:numPr>
          <w:ilvl w:val="0"/>
          <w:numId w:val="1061"/>
        </w:numPr>
      </w:pPr>
      <w:r>
        <w:t xml:space="preserve">Standards for AI transparency and explainability</w:t>
      </w:r>
    </w:p>
    <w:p>
      <w:pPr>
        <w:pStyle w:val="Compact"/>
        <w:numPr>
          <w:ilvl w:val="0"/>
          <w:numId w:val="1061"/>
        </w:numPr>
      </w:pPr>
      <w:r>
        <w:t xml:space="preserve">Investment in education and training programs that prepare workers for human-AI collaboration</w:t>
      </w:r>
    </w:p>
    <w:p>
      <w:pPr>
        <w:pStyle w:val="Compact"/>
        <w:numPr>
          <w:ilvl w:val="0"/>
          <w:numId w:val="1061"/>
        </w:numPr>
      </w:pPr>
      <w:r>
        <w:t xml:space="preserve">Incentives for companies developing enhancement-focused AI applications</w:t>
      </w:r>
    </w:p>
    <w:bookmarkEnd w:id="157"/>
    <w:bookmarkStart w:id="158"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58"/>
    <w:bookmarkStart w:id="159"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59"/>
    <w:bookmarkEnd w:id="160"/>
    <w:bookmarkEnd w:id="161"/>
    <w:bookmarkStart w:id="162"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62"/>
    <w:bookmarkStart w:id="354" w:name="references"/>
    <w:p>
      <w:pPr>
        <w:pStyle w:val="Heading1"/>
      </w:pPr>
      <w:r>
        <w:t xml:space="preserve">References</w:t>
      </w:r>
    </w:p>
    <w:bookmarkStart w:id="353" w:name="refs"/>
    <w:bookmarkStart w:id="164"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63">
        <w:r>
          <w:rPr>
            <w:rStyle w:val="Hyperlink"/>
          </w:rPr>
          <w:t xml:space="preserve">http://arxiv.org/abs/2404.14219</w:t>
        </w:r>
      </w:hyperlink>
      <w:r>
        <w:t xml:space="preserve">.</w:t>
      </w:r>
    </w:p>
    <w:bookmarkEnd w:id="164"/>
    <w:bookmarkStart w:id="166"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65">
        <w:r>
          <w:rPr>
            <w:rStyle w:val="Hyperlink"/>
          </w:rPr>
          <w:t xml:space="preserve">http://arxiv.org/abs/2403.04652</w:t>
        </w:r>
      </w:hyperlink>
      <w:r>
        <w:t xml:space="preserve">.</w:t>
      </w:r>
    </w:p>
    <w:bookmarkEnd w:id="166"/>
    <w:bookmarkStart w:id="168"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67">
        <w:r>
          <w:rPr>
            <w:rStyle w:val="Hyperlink"/>
          </w:rPr>
          <w:t xml:space="preserve">https://doi.org/10.1101/2023.09.11.556673</w:t>
        </w:r>
      </w:hyperlink>
      <w:r>
        <w:t xml:space="preserve">.</w:t>
      </w:r>
    </w:p>
    <w:bookmarkEnd w:id="168"/>
    <w:bookmarkStart w:id="170"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69">
        <w:r>
          <w:rPr>
            <w:rStyle w:val="Hyperlink"/>
          </w:rPr>
          <w:t xml:space="preserve">https://doi.org/10.1145/3442188.3445922</w:t>
        </w:r>
      </w:hyperlink>
      <w:r>
        <w:t xml:space="preserve">.</w:t>
      </w:r>
    </w:p>
    <w:bookmarkEnd w:id="170"/>
    <w:bookmarkStart w:id="172"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71">
        <w:r>
          <w:rPr>
            <w:rStyle w:val="Hyperlink"/>
          </w:rPr>
          <w:t xml:space="preserve">http://arxiv.org/abs/2309.12288</w:t>
        </w:r>
      </w:hyperlink>
      <w:r>
        <w:t xml:space="preserve">.</w:t>
      </w:r>
    </w:p>
    <w:bookmarkEnd w:id="172"/>
    <w:bookmarkStart w:id="174"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73">
        <w:r>
          <w:rPr>
            <w:rStyle w:val="Hyperlink"/>
          </w:rPr>
          <w:t xml:space="preserve">http://arxiv.org/abs/2312.16171</w:t>
        </w:r>
      </w:hyperlink>
      <w:r>
        <w:t xml:space="preserve">.</w:t>
      </w:r>
    </w:p>
    <w:bookmarkEnd w:id="174"/>
    <w:bookmarkStart w:id="176"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75">
        <w:r>
          <w:rPr>
            <w:rStyle w:val="Hyperlink"/>
          </w:rPr>
          <w:t xml:space="preserve">https://doi.org/10.1038/s41598-024-61221-0</w:t>
        </w:r>
      </w:hyperlink>
      <w:r>
        <w:t xml:space="preserve">.</w:t>
      </w:r>
    </w:p>
    <w:bookmarkEnd w:id="176"/>
    <w:bookmarkStart w:id="178"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77">
        <w:r>
          <w:rPr>
            <w:rStyle w:val="Hyperlink"/>
          </w:rPr>
          <w:t xml:space="preserve">https://doi.org/10.48550/ARXIV.2308.08708</w:t>
        </w:r>
      </w:hyperlink>
      <w:r>
        <w:t xml:space="preserve">.</w:t>
      </w:r>
    </w:p>
    <w:bookmarkEnd w:id="178"/>
    <w:bookmarkStart w:id="180"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79">
        <w:r>
          <w:rPr>
            <w:rStyle w:val="Hyperlink"/>
          </w:rPr>
          <w:t xml:space="preserve">http://arxiv.org/abs/2403.06634</w:t>
        </w:r>
      </w:hyperlink>
      <w:r>
        <w:t xml:space="preserve">.</w:t>
      </w:r>
    </w:p>
    <w:bookmarkEnd w:id="180"/>
    <w:bookmarkStart w:id="182"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81">
        <w:r>
          <w:rPr>
            <w:rStyle w:val="Hyperlink"/>
          </w:rPr>
          <w:t xml:space="preserve">https://doi.org/10.48550/ARXIV.2305.00118</w:t>
        </w:r>
      </w:hyperlink>
      <w:r>
        <w:t xml:space="preserve">.</w:t>
      </w:r>
    </w:p>
    <w:bookmarkEnd w:id="182"/>
    <w:bookmarkStart w:id="184"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83">
        <w:r>
          <w:rPr>
            <w:rStyle w:val="Hyperlink"/>
          </w:rPr>
          <w:t xml:space="preserve">http://arxiv.org/abs/2305.00118</w:t>
        </w:r>
      </w:hyperlink>
      <w:r>
        <w:t xml:space="preserve">.</w:t>
      </w:r>
    </w:p>
    <w:bookmarkEnd w:id="184"/>
    <w:bookmarkStart w:id="186"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85">
        <w:r>
          <w:rPr>
            <w:rStyle w:val="Hyperlink"/>
          </w:rPr>
          <w:t xml:space="preserve">https://doi.org/10.1038/s41591-018-0107-6</w:t>
        </w:r>
      </w:hyperlink>
      <w:r>
        <w:t xml:space="preserve">.</w:t>
      </w:r>
    </w:p>
    <w:bookmarkEnd w:id="186"/>
    <w:bookmarkStart w:id="188"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87">
        <w:r>
          <w:rPr>
            <w:rStyle w:val="Hyperlink"/>
          </w:rPr>
          <w:t xml:space="preserve">http://arxiv.org/abs/2309.03613</w:t>
        </w:r>
      </w:hyperlink>
      <w:r>
        <w:t xml:space="preserve">.</w:t>
      </w:r>
    </w:p>
    <w:bookmarkEnd w:id="188"/>
    <w:bookmarkStart w:id="190"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89">
        <w:r>
          <w:rPr>
            <w:rStyle w:val="Hyperlink"/>
          </w:rPr>
          <w:t xml:space="preserve">https://doi.org/10.48550/ARXIV.2104.08758</w:t>
        </w:r>
      </w:hyperlink>
      <w:r>
        <w:t xml:space="preserve">.</w:t>
      </w:r>
    </w:p>
    <w:bookmarkEnd w:id="190"/>
    <w:bookmarkStart w:id="192"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91">
        <w:r>
          <w:rPr>
            <w:rStyle w:val="Hyperlink"/>
          </w:rPr>
          <w:t xml:space="preserve">https://doi.org/10.1080/09515080701239510</w:t>
        </w:r>
      </w:hyperlink>
      <w:r>
        <w:t xml:space="preserve">.</w:t>
      </w:r>
    </w:p>
    <w:bookmarkEnd w:id="192"/>
    <w:bookmarkStart w:id="194"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93">
        <w:r>
          <w:rPr>
            <w:rStyle w:val="Hyperlink"/>
          </w:rPr>
          <w:t xml:space="preserve">https://epochai.org/data/large-scale-ai-models</w:t>
        </w:r>
      </w:hyperlink>
      <w:r>
        <w:t xml:space="preserve">.</w:t>
      </w:r>
    </w:p>
    <w:bookmarkEnd w:id="194"/>
    <w:bookmarkStart w:id="196"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95">
        <w:r>
          <w:rPr>
            <w:rStyle w:val="Hyperlink"/>
          </w:rPr>
          <w:t xml:space="preserve">http://arxiv.org/abs/2309.11690</w:t>
        </w:r>
      </w:hyperlink>
      <w:r>
        <w:t xml:space="preserve">.</w:t>
      </w:r>
    </w:p>
    <w:bookmarkEnd w:id="196"/>
    <w:bookmarkStart w:id="198"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97">
        <w:r>
          <w:rPr>
            <w:rStyle w:val="Hyperlink"/>
          </w:rPr>
          <w:t xml:space="preserve">https://doi.org/10.1038/s41591-018-0316-z</w:t>
        </w:r>
      </w:hyperlink>
      <w:r>
        <w:t xml:space="preserve">.</w:t>
      </w:r>
    </w:p>
    <w:bookmarkEnd w:id="198"/>
    <w:bookmarkStart w:id="200"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99">
        <w:r>
          <w:rPr>
            <w:rStyle w:val="Hyperlink"/>
          </w:rPr>
          <w:t xml:space="preserve">https://doi.org/10.48550/ARXIV.2305.08283</w:t>
        </w:r>
      </w:hyperlink>
      <w:r>
        <w:t xml:space="preserve">.</w:t>
      </w:r>
    </w:p>
    <w:bookmarkEnd w:id="200"/>
    <w:bookmarkStart w:id="202"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01">
        <w:r>
          <w:rPr>
            <w:rStyle w:val="Hyperlink"/>
          </w:rPr>
          <w:t xml:space="preserve">https://doi.org/10.1001/jamanetworkopen.2024.40969</w:t>
        </w:r>
      </w:hyperlink>
      <w:r>
        <w:t xml:space="preserve">.</w:t>
      </w:r>
    </w:p>
    <w:bookmarkEnd w:id="202"/>
    <w:bookmarkStart w:id="204"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03">
        <w:r>
          <w:rPr>
            <w:rStyle w:val="Hyperlink"/>
          </w:rPr>
          <w:t xml:space="preserve">https://doi.org/10.1126/science.adi1778</w:t>
        </w:r>
      </w:hyperlink>
      <w:r>
        <w:t xml:space="preserve">.</w:t>
      </w:r>
    </w:p>
    <w:bookmarkEnd w:id="204"/>
    <w:bookmarkStart w:id="206"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05">
        <w:r>
          <w:rPr>
            <w:rStyle w:val="Hyperlink"/>
          </w:rPr>
          <w:t xml:space="preserve">http://arxiv.org/abs/2308.12539</w:t>
        </w:r>
      </w:hyperlink>
      <w:r>
        <w:t xml:space="preserve">.</w:t>
      </w:r>
    </w:p>
    <w:bookmarkEnd w:id="206"/>
    <w:bookmarkStart w:id="208"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07">
        <w:r>
          <w:rPr>
            <w:rStyle w:val="Hyperlink"/>
          </w:rPr>
          <w:t xml:space="preserve">http://arxiv.org/abs/2404.03264</w:t>
        </w:r>
      </w:hyperlink>
      <w:r>
        <w:t xml:space="preserve">.</w:t>
      </w:r>
    </w:p>
    <w:bookmarkEnd w:id="208"/>
    <w:bookmarkStart w:id="210"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09">
        <w:r>
          <w:rPr>
            <w:rStyle w:val="Hyperlink"/>
          </w:rPr>
          <w:t xml:space="preserve">http://arxiv.org/abs/2302.09210</w:t>
        </w:r>
      </w:hyperlink>
      <w:r>
        <w:t xml:space="preserve">.</w:t>
      </w:r>
    </w:p>
    <w:bookmarkEnd w:id="210"/>
    <w:bookmarkStart w:id="212"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11">
        <w:r>
          <w:rPr>
            <w:rStyle w:val="Hyperlink"/>
          </w:rPr>
          <w:t xml:space="preserve">https://doi.org/10.1007/s10676-024-09775-5</w:t>
        </w:r>
      </w:hyperlink>
      <w:r>
        <w:t xml:space="preserve">.</w:t>
      </w:r>
    </w:p>
    <w:bookmarkEnd w:id="212"/>
    <w:bookmarkStart w:id="214"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13">
        <w:r>
          <w:rPr>
            <w:rStyle w:val="Hyperlink"/>
          </w:rPr>
          <w:t xml:space="preserve">http://arxiv.org/abs/2203.15556</w:t>
        </w:r>
      </w:hyperlink>
      <w:r>
        <w:t xml:space="preserve">.</w:t>
      </w:r>
    </w:p>
    <w:bookmarkEnd w:id="214"/>
    <w:bookmarkStart w:id="216"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15">
        <w:r>
          <w:rPr>
            <w:rStyle w:val="Hyperlink"/>
          </w:rPr>
          <w:t xml:space="preserve">https://doi.org/10.1093/jncics/pkad010</w:t>
        </w:r>
      </w:hyperlink>
      <w:r>
        <w:t xml:space="preserve">.</w:t>
      </w:r>
    </w:p>
    <w:bookmarkEnd w:id="216"/>
    <w:bookmarkStart w:id="218"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17">
        <w:r>
          <w:rPr>
            <w:rStyle w:val="Hyperlink"/>
          </w:rPr>
          <w:t xml:space="preserve">https://doi.org/10.2196/48966</w:t>
        </w:r>
      </w:hyperlink>
      <w:r>
        <w:t xml:space="preserve">.</w:t>
      </w:r>
    </w:p>
    <w:bookmarkEnd w:id="218"/>
    <w:bookmarkStart w:id="220"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19">
        <w:r>
          <w:rPr>
            <w:rStyle w:val="Hyperlink"/>
          </w:rPr>
          <w:t xml:space="preserve">https://doi.org/10.2139/ssrn.2325101</w:t>
        </w:r>
      </w:hyperlink>
      <w:r>
        <w:t xml:space="preserve">.</w:t>
      </w:r>
    </w:p>
    <w:bookmarkEnd w:id="220"/>
    <w:bookmarkStart w:id="222"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21">
        <w:r>
          <w:rPr>
            <w:rStyle w:val="Hyperlink"/>
          </w:rPr>
          <w:t xml:space="preserve">http://arxiv.org/abs/2404.18021</w:t>
        </w:r>
      </w:hyperlink>
      <w:r>
        <w:t xml:space="preserve">.</w:t>
      </w:r>
    </w:p>
    <w:bookmarkEnd w:id="222"/>
    <w:bookmarkStart w:id="224"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23">
        <w:r>
          <w:rPr>
            <w:rStyle w:val="Hyperlink"/>
          </w:rPr>
          <w:t xml:space="preserve">https://doi.org/10.1073/pnas.2304748120</w:t>
        </w:r>
      </w:hyperlink>
      <w:r>
        <w:t xml:space="preserve">.</w:t>
      </w:r>
    </w:p>
    <w:bookmarkEnd w:id="224"/>
    <w:bookmarkStart w:id="226"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25">
        <w:r>
          <w:rPr>
            <w:rStyle w:val="Hyperlink"/>
          </w:rPr>
          <w:t xml:space="preserve">https://doi.org/10.48550/ARXIV.2305.08596</w:t>
        </w:r>
      </w:hyperlink>
      <w:r>
        <w:t xml:space="preserve">.</w:t>
      </w:r>
    </w:p>
    <w:bookmarkEnd w:id="226"/>
    <w:bookmarkStart w:id="228"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27">
        <w:r>
          <w:rPr>
            <w:rStyle w:val="Hyperlink"/>
          </w:rPr>
          <w:t xml:space="preserve">http://arxiv.org/abs/2402.04845</w:t>
        </w:r>
      </w:hyperlink>
      <w:r>
        <w:t xml:space="preserve">.</w:t>
      </w:r>
    </w:p>
    <w:bookmarkEnd w:id="228"/>
    <w:bookmarkStart w:id="230"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29">
        <w:r>
          <w:rPr>
            <w:rStyle w:val="Hyperlink"/>
          </w:rPr>
          <w:t xml:space="preserve">https://doi.org/10.48550/ARXIV.2307.10169</w:t>
        </w:r>
      </w:hyperlink>
      <w:r>
        <w:t xml:space="preserve">.</w:t>
      </w:r>
    </w:p>
    <w:bookmarkEnd w:id="230"/>
    <w:bookmarkStart w:id="232"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31">
        <w:r>
          <w:rPr>
            <w:rStyle w:val="Hyperlink"/>
          </w:rPr>
          <w:t xml:space="preserve">http://arxiv.org/abs/2401.06416</w:t>
        </w:r>
      </w:hyperlink>
      <w:r>
        <w:t xml:space="preserve">.</w:t>
      </w:r>
    </w:p>
    <w:bookmarkEnd w:id="232"/>
    <w:bookmarkStart w:id="234"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33">
        <w:r>
          <w:rPr>
            <w:rStyle w:val="Hyperlink"/>
          </w:rPr>
          <w:t xml:space="preserve">https://doi.org/10.1001/jama.2023.8288</w:t>
        </w:r>
      </w:hyperlink>
      <w:r>
        <w:t xml:space="preserve">.</w:t>
      </w:r>
    </w:p>
    <w:bookmarkEnd w:id="234"/>
    <w:bookmarkStart w:id="236"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35">
        <w:r>
          <w:rPr>
            <w:rStyle w:val="Hyperlink"/>
          </w:rPr>
          <w:t xml:space="preserve">https://doi.org/10.1016/j.mcpdig.2023.08.005</w:t>
        </w:r>
      </w:hyperlink>
      <w:r>
        <w:t xml:space="preserve">.</w:t>
      </w:r>
    </w:p>
    <w:bookmarkEnd w:id="236"/>
    <w:bookmarkStart w:id="238"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37">
        <w:r>
          <w:rPr>
            <w:rStyle w:val="Hyperlink"/>
          </w:rPr>
          <w:t xml:space="preserve">https://doi.org/10.1038/s41571-020-0329-7</w:t>
        </w:r>
      </w:hyperlink>
      <w:r>
        <w:t xml:space="preserve">.</w:t>
      </w:r>
    </w:p>
    <w:bookmarkEnd w:id="238"/>
    <w:bookmarkStart w:id="240"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39">
        <w:r>
          <w:rPr>
            <w:rStyle w:val="Hyperlink"/>
          </w:rPr>
          <w:t xml:space="preserve">http://arxiv.org/abs/2401.06866</w:t>
        </w:r>
      </w:hyperlink>
      <w:r>
        <w:t xml:space="preserve">.</w:t>
      </w:r>
    </w:p>
    <w:bookmarkEnd w:id="240"/>
    <w:bookmarkStart w:id="242"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41">
        <w:r>
          <w:rPr>
            <w:rStyle w:val="Hyperlink"/>
          </w:rPr>
          <w:t xml:space="preserve">https://doi.org/10.1101/2022.12.19.22283643</w:t>
        </w:r>
      </w:hyperlink>
      <w:r>
        <w:t xml:space="preserve">.</w:t>
      </w:r>
    </w:p>
    <w:bookmarkEnd w:id="242"/>
    <w:bookmarkStart w:id="243"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43"/>
    <w:bookmarkStart w:id="244"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44"/>
    <w:bookmarkStart w:id="246"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45">
        <w:r>
          <w:rPr>
            <w:rStyle w:val="Hyperlink"/>
          </w:rPr>
          <w:t xml:space="preserve">https://doi.org/10.1016/j.oret.2016.12.009</w:t>
        </w:r>
      </w:hyperlink>
      <w:r>
        <w:t xml:space="preserve">.</w:t>
      </w:r>
    </w:p>
    <w:bookmarkEnd w:id="246"/>
    <w:bookmarkStart w:id="248"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47">
        <w:r>
          <w:rPr>
            <w:rStyle w:val="Hyperlink"/>
          </w:rPr>
          <w:t xml:space="preserve">https://doi.org/10.1056/NEJMsr2214184</w:t>
        </w:r>
      </w:hyperlink>
      <w:r>
        <w:t xml:space="preserve">.</w:t>
      </w:r>
    </w:p>
    <w:bookmarkEnd w:id="248"/>
    <w:bookmarkStart w:id="249"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49"/>
    <w:bookmarkStart w:id="251"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50">
        <w:r>
          <w:rPr>
            <w:rStyle w:val="Hyperlink"/>
          </w:rPr>
          <w:t xml:space="preserve">http://arxiv.org/abs/2210.12889</w:t>
        </w:r>
      </w:hyperlink>
      <w:r>
        <w:t xml:space="preserve">.</w:t>
      </w:r>
    </w:p>
    <w:bookmarkEnd w:id="251"/>
    <w:bookmarkStart w:id="253"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52">
        <w:r>
          <w:rPr>
            <w:rStyle w:val="Hyperlink"/>
          </w:rPr>
          <w:t xml:space="preserve">http://arxiv.org/abs/2308.04445</w:t>
        </w:r>
      </w:hyperlink>
      <w:r>
        <w:t xml:space="preserve">.</w:t>
      </w:r>
    </w:p>
    <w:bookmarkEnd w:id="253"/>
    <w:bookmarkStart w:id="255"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54">
        <w:r>
          <w:rPr>
            <w:rStyle w:val="Hyperlink"/>
          </w:rPr>
          <w:t xml:space="preserve">http://arxiv.org/abs/2403.20041</w:t>
        </w:r>
      </w:hyperlink>
      <w:r>
        <w:t xml:space="preserve">.</w:t>
      </w:r>
    </w:p>
    <w:bookmarkEnd w:id="255"/>
    <w:bookmarkStart w:id="257"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56">
        <w:r>
          <w:rPr>
            <w:rStyle w:val="Hyperlink"/>
          </w:rPr>
          <w:t xml:space="preserve">http://arxiv.org/abs/2304.09848</w:t>
        </w:r>
      </w:hyperlink>
      <w:r>
        <w:t xml:space="preserve">.</w:t>
      </w:r>
    </w:p>
    <w:bookmarkEnd w:id="257"/>
    <w:bookmarkStart w:id="259"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58">
        <w:r>
          <w:rPr>
            <w:rStyle w:val="Hyperlink"/>
          </w:rPr>
          <w:t xml:space="preserve">https://doi.org/10.48550/ARXIV.2308.03688</w:t>
        </w:r>
      </w:hyperlink>
      <w:r>
        <w:t xml:space="preserve">.</w:t>
      </w:r>
    </w:p>
    <w:bookmarkEnd w:id="259"/>
    <w:bookmarkStart w:id="261"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60">
        <w:r>
          <w:rPr>
            <w:rStyle w:val="Hyperlink"/>
          </w:rPr>
          <w:t xml:space="preserve">http://arxiv.org/abs/2402.14905</w:t>
        </w:r>
      </w:hyperlink>
      <w:r>
        <w:t xml:space="preserve">.</w:t>
      </w:r>
    </w:p>
    <w:bookmarkEnd w:id="261"/>
    <w:bookmarkStart w:id="263"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62">
        <w:r>
          <w:rPr>
            <w:rStyle w:val="Hyperlink"/>
          </w:rPr>
          <w:t xml:space="preserve">https://doi.org/10.48550/ARXIV.2209.07663</w:t>
        </w:r>
      </w:hyperlink>
      <w:r>
        <w:t xml:space="preserve">.</w:t>
      </w:r>
    </w:p>
    <w:bookmarkEnd w:id="263"/>
    <w:bookmarkStart w:id="265"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64">
        <w:r>
          <w:rPr>
            <w:rStyle w:val="Hyperlink"/>
          </w:rPr>
          <w:t xml:space="preserve">http://arxiv.org/abs/2408.06292</w:t>
        </w:r>
      </w:hyperlink>
      <w:r>
        <w:t xml:space="preserve">.</w:t>
      </w:r>
    </w:p>
    <w:bookmarkEnd w:id="265"/>
    <w:bookmarkStart w:id="267"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66">
        <w:r>
          <w:rPr>
            <w:rStyle w:val="Hyperlink"/>
          </w:rPr>
          <w:t xml:space="preserve">https://doi.org/10.1093/bib/bbac409</w:t>
        </w:r>
      </w:hyperlink>
      <w:r>
        <w:t xml:space="preserve">.</w:t>
      </w:r>
    </w:p>
    <w:bookmarkEnd w:id="267"/>
    <w:bookmarkStart w:id="269"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68">
        <w:r>
          <w:rPr>
            <w:rStyle w:val="Hyperlink"/>
          </w:rPr>
          <w:t xml:space="preserve">http://arxiv.org/abs/2408.11876</w:t>
        </w:r>
      </w:hyperlink>
      <w:r>
        <w:t xml:space="preserve">.</w:t>
      </w:r>
    </w:p>
    <w:bookmarkEnd w:id="269"/>
    <w:bookmarkStart w:id="271"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70">
        <w:r>
          <w:rPr>
            <w:rStyle w:val="Hyperlink"/>
          </w:rPr>
          <w:t xml:space="preserve">https://doi.org/10.48550/ARXIV.2306.14308</w:t>
        </w:r>
      </w:hyperlink>
      <w:r>
        <w:t xml:space="preserve">.</w:t>
      </w:r>
    </w:p>
    <w:bookmarkEnd w:id="271"/>
    <w:bookmarkStart w:id="273"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72">
        <w:r>
          <w:rPr>
            <w:rStyle w:val="Hyperlink"/>
          </w:rPr>
          <w:t xml:space="preserve">http://arxiv.org/abs/2301.06627</w:t>
        </w:r>
      </w:hyperlink>
      <w:r>
        <w:t xml:space="preserve">.</w:t>
      </w:r>
    </w:p>
    <w:bookmarkEnd w:id="273"/>
    <w:bookmarkStart w:id="275"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74">
        <w:r>
          <w:rPr>
            <w:rStyle w:val="Hyperlink"/>
          </w:rPr>
          <w:t xml:space="preserve">http://arxiv.org/abs/2309.02884</w:t>
        </w:r>
      </w:hyperlink>
      <w:r>
        <w:t xml:space="preserve">.</w:t>
      </w:r>
    </w:p>
    <w:bookmarkEnd w:id="275"/>
    <w:bookmarkStart w:id="277"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76">
        <w:r>
          <w:rPr>
            <w:rStyle w:val="Hyperlink"/>
          </w:rPr>
          <w:t xml:space="preserve">http://arxiv.org/abs/2312.00164</w:t>
        </w:r>
      </w:hyperlink>
      <w:r>
        <w:t xml:space="preserve">.</w:t>
      </w:r>
    </w:p>
    <w:bookmarkEnd w:id="277"/>
    <w:bookmarkStart w:id="279"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78">
        <w:r>
          <w:rPr>
            <w:rStyle w:val="Hyperlink"/>
          </w:rPr>
          <w:t xml:space="preserve">https://doi.org/10.2196/50638</w:t>
        </w:r>
      </w:hyperlink>
      <w:r>
        <w:t xml:space="preserve">.</w:t>
      </w:r>
    </w:p>
    <w:bookmarkEnd w:id="279"/>
    <w:bookmarkStart w:id="281"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80">
        <w:r>
          <w:rPr>
            <w:rStyle w:val="Hyperlink"/>
          </w:rPr>
          <w:t xml:space="preserve">https://doi.org/10.1038/s41746-023-00873-0</w:t>
        </w:r>
      </w:hyperlink>
      <w:r>
        <w:t xml:space="preserve">.</w:t>
      </w:r>
    </w:p>
    <w:bookmarkEnd w:id="281"/>
    <w:bookmarkStart w:id="283"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82">
        <w:r>
          <w:rPr>
            <w:rStyle w:val="Hyperlink"/>
          </w:rPr>
          <w:t xml:space="preserve">http://arxiv.org/abs/2401.03910</w:t>
        </w:r>
      </w:hyperlink>
      <w:r>
        <w:t xml:space="preserve">.</w:t>
      </w:r>
    </w:p>
    <w:bookmarkEnd w:id="283"/>
    <w:bookmarkStart w:id="284"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84"/>
    <w:bookmarkStart w:id="286"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85">
        <w:r>
          <w:rPr>
            <w:rStyle w:val="Hyperlink"/>
          </w:rPr>
          <w:t xml:space="preserve">https://doi.org/10.48550/ARXIV.2303.13375</w:t>
        </w:r>
      </w:hyperlink>
      <w:r>
        <w:t xml:space="preserve">.</w:t>
      </w:r>
    </w:p>
    <w:bookmarkEnd w:id="286"/>
    <w:bookmarkStart w:id="288"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87">
        <w:r>
          <w:rPr>
            <w:rStyle w:val="Hyperlink"/>
          </w:rPr>
          <w:t xml:space="preserve">https://doi.org/10.1038/s41586-023-06802-1</w:t>
        </w:r>
      </w:hyperlink>
      <w:r>
        <w:t xml:space="preserve">.</w:t>
      </w:r>
    </w:p>
    <w:bookmarkEnd w:id="288"/>
    <w:bookmarkStart w:id="290"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89">
        <w:r>
          <w:rPr>
            <w:rStyle w:val="Hyperlink"/>
          </w:rPr>
          <w:t xml:space="preserve">http://arxiv.org/abs/2310.17623</w:t>
        </w:r>
      </w:hyperlink>
      <w:r>
        <w:t xml:space="preserve">.</w:t>
      </w:r>
    </w:p>
    <w:bookmarkEnd w:id="290"/>
    <w:bookmarkStart w:id="292"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91">
        <w:r>
          <w:rPr>
            <w:rStyle w:val="Hyperlink"/>
          </w:rPr>
          <w:t xml:space="preserve">http://arxiv.org/abs/2403.17881</w:t>
        </w:r>
      </w:hyperlink>
      <w:r>
        <w:t xml:space="preserve">.</w:t>
      </w:r>
    </w:p>
    <w:bookmarkEnd w:id="292"/>
    <w:bookmarkStart w:id="294"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93">
        <w:r>
          <w:rPr>
            <w:rStyle w:val="Hyperlink"/>
          </w:rPr>
          <w:t xml:space="preserve">http://arxiv.org/abs/2309.08594</w:t>
        </w:r>
      </w:hyperlink>
      <w:r>
        <w:t xml:space="preserve">.</w:t>
      </w:r>
    </w:p>
    <w:bookmarkEnd w:id="294"/>
    <w:bookmarkStart w:id="296"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95">
        <w:r>
          <w:rPr>
            <w:rStyle w:val="Hyperlink"/>
          </w:rPr>
          <w:t xml:space="preserve">http://arxiv.org/abs/2402.13963</w:t>
        </w:r>
      </w:hyperlink>
      <w:r>
        <w:t xml:space="preserve">.</w:t>
      </w:r>
    </w:p>
    <w:bookmarkEnd w:id="296"/>
    <w:bookmarkStart w:id="298"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97">
        <w:r>
          <w:rPr>
            <w:rStyle w:val="Hyperlink"/>
          </w:rPr>
          <w:t xml:space="preserve">https://doi.org/10.1145/3531146.3533158</w:t>
        </w:r>
      </w:hyperlink>
      <w:r>
        <w:t xml:space="preserve">.</w:t>
      </w:r>
    </w:p>
    <w:bookmarkEnd w:id="298"/>
    <w:bookmarkStart w:id="300"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99">
        <w:r>
          <w:rPr>
            <w:rStyle w:val="Hyperlink"/>
          </w:rPr>
          <w:t xml:space="preserve">https://doi.org/10.2196/48659</w:t>
        </w:r>
      </w:hyperlink>
      <w:r>
        <w:t xml:space="preserve">.</w:t>
      </w:r>
    </w:p>
    <w:bookmarkEnd w:id="300"/>
    <w:bookmarkStart w:id="302"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301">
        <w:r>
          <w:rPr>
            <w:rStyle w:val="Hyperlink"/>
          </w:rPr>
          <w:t xml:space="preserve">https://doi.org/10.1038/s41586-023-06924-6</w:t>
        </w:r>
      </w:hyperlink>
      <w:r>
        <w:t xml:space="preserve">.</w:t>
      </w:r>
    </w:p>
    <w:bookmarkEnd w:id="302"/>
    <w:bookmarkStart w:id="304"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3">
        <w:r>
          <w:rPr>
            <w:rStyle w:val="Hyperlink"/>
          </w:rPr>
          <w:t xml:space="preserve">http://arxiv.org/abs/2402.16786</w:t>
        </w:r>
      </w:hyperlink>
      <w:r>
        <w:t xml:space="preserve">.</w:t>
      </w:r>
    </w:p>
    <w:bookmarkEnd w:id="304"/>
    <w:bookmarkStart w:id="306"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05">
        <w:r>
          <w:rPr>
            <w:rStyle w:val="Hyperlink"/>
          </w:rPr>
          <w:t xml:space="preserve">https://doi.org/10.3390/socsci12030148</w:t>
        </w:r>
      </w:hyperlink>
      <w:r>
        <w:t xml:space="preserve">.</w:t>
      </w:r>
    </w:p>
    <w:bookmarkEnd w:id="306"/>
    <w:bookmarkStart w:id="308"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07">
        <w:r>
          <w:rPr>
            <w:rStyle w:val="Hyperlink"/>
          </w:rPr>
          <w:t xml:space="preserve">http://arxiv.org/abs/2402.01789</w:t>
        </w:r>
      </w:hyperlink>
      <w:r>
        <w:t xml:space="preserve">.</w:t>
      </w:r>
    </w:p>
    <w:bookmarkEnd w:id="308"/>
    <w:bookmarkStart w:id="310"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09">
        <w:r>
          <w:rPr>
            <w:rStyle w:val="Hyperlink"/>
          </w:rPr>
          <w:t xml:space="preserve">http://arxiv.org/abs/2404.18416</w:t>
        </w:r>
      </w:hyperlink>
      <w:r>
        <w:t xml:space="preserve">.</w:t>
      </w:r>
    </w:p>
    <w:bookmarkEnd w:id="310"/>
    <w:bookmarkStart w:id="312"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11">
        <w:r>
          <w:rPr>
            <w:rStyle w:val="Hyperlink"/>
          </w:rPr>
          <w:t xml:space="preserve">http://arxiv.org/abs/2402.08797</w:t>
        </w:r>
      </w:hyperlink>
      <w:r>
        <w:t xml:space="preserve">.</w:t>
      </w:r>
    </w:p>
    <w:bookmarkEnd w:id="312"/>
    <w:bookmarkStart w:id="314"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13">
        <w:r>
          <w:rPr>
            <w:rStyle w:val="Hyperlink"/>
          </w:rPr>
          <w:t xml:space="preserve">http://arxiv.org/abs/2305.17493</w:t>
        </w:r>
      </w:hyperlink>
      <w:r>
        <w:t xml:space="preserve">.</w:t>
      </w:r>
    </w:p>
    <w:bookmarkEnd w:id="314"/>
    <w:bookmarkStart w:id="316"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15">
        <w:r>
          <w:rPr>
            <w:rStyle w:val="Hyperlink"/>
          </w:rPr>
          <w:t xml:space="preserve">https://doi.org/10.1038/s41586-023-06291-2</w:t>
        </w:r>
      </w:hyperlink>
      <w:r>
        <w:t xml:space="preserve">.</w:t>
      </w:r>
    </w:p>
    <w:bookmarkEnd w:id="316"/>
    <w:bookmarkStart w:id="318"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17">
        <w:r>
          <w:rPr>
            <w:rStyle w:val="Hyperlink"/>
          </w:rPr>
          <w:t xml:space="preserve">https://doi.org/10.1016/j.ajp.2023.103705</w:t>
        </w:r>
      </w:hyperlink>
      <w:r>
        <w:t xml:space="preserve">.</w:t>
      </w:r>
    </w:p>
    <w:bookmarkEnd w:id="318"/>
    <w:bookmarkStart w:id="320"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9">
        <w:r>
          <w:rPr>
            <w:rStyle w:val="Hyperlink"/>
          </w:rPr>
          <w:t xml:space="preserve">http://arxiv.org/abs/2407.09025</w:t>
        </w:r>
      </w:hyperlink>
      <w:r>
        <w:t xml:space="preserve">.</w:t>
      </w:r>
    </w:p>
    <w:bookmarkEnd w:id="320"/>
    <w:bookmarkStart w:id="322"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21">
        <w:r>
          <w:rPr>
            <w:rStyle w:val="Hyperlink"/>
          </w:rPr>
          <w:t xml:space="preserve">https://doi.org/10.48550/ARXIV.2401.05654</w:t>
        </w:r>
      </w:hyperlink>
      <w:r>
        <w:t xml:space="preserve">.</w:t>
      </w:r>
    </w:p>
    <w:bookmarkEnd w:id="322"/>
    <w:bookmarkStart w:id="324"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23">
        <w:r>
          <w:rPr>
            <w:rStyle w:val="Hyperlink"/>
          </w:rPr>
          <w:t xml:space="preserve">http://arxiv.org/abs/2404.04125</w:t>
        </w:r>
      </w:hyperlink>
      <w:r>
        <w:t xml:space="preserve">.</w:t>
      </w:r>
    </w:p>
    <w:bookmarkEnd w:id="324"/>
    <w:bookmarkStart w:id="326"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25">
        <w:r>
          <w:rPr>
            <w:rStyle w:val="Hyperlink"/>
          </w:rPr>
          <w:t xml:space="preserve">http://arxiv.org/abs/2211.04325</w:t>
        </w:r>
      </w:hyperlink>
      <w:r>
        <w:t xml:space="preserve">.</w:t>
      </w:r>
    </w:p>
    <w:bookmarkEnd w:id="326"/>
    <w:bookmarkStart w:id="328"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27">
        <w:r>
          <w:rPr>
            <w:rStyle w:val="Hyperlink"/>
          </w:rPr>
          <w:t xml:space="preserve">http://arxiv.org/abs/2309.11758</w:t>
        </w:r>
      </w:hyperlink>
      <w:r>
        <w:t xml:space="preserve">.</w:t>
      </w:r>
    </w:p>
    <w:bookmarkEnd w:id="328"/>
    <w:bookmarkStart w:id="330"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9">
        <w:r>
          <w:rPr>
            <w:rStyle w:val="Hyperlink"/>
          </w:rPr>
          <w:t xml:space="preserve">http://arxiv.org/abs/2201.11903</w:t>
        </w:r>
      </w:hyperlink>
      <w:r>
        <w:t xml:space="preserve">.</w:t>
      </w:r>
    </w:p>
    <w:bookmarkEnd w:id="330"/>
    <w:bookmarkStart w:id="332"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31">
        <w:r>
          <w:rPr>
            <w:rStyle w:val="Hyperlink"/>
          </w:rPr>
          <w:t xml:space="preserve">http://arxiv.org/abs/2403.18802</w:t>
        </w:r>
      </w:hyperlink>
      <w:r>
        <w:t xml:space="preserve">.</w:t>
      </w:r>
    </w:p>
    <w:bookmarkEnd w:id="332"/>
    <w:bookmarkStart w:id="334"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33">
        <w:r>
          <w:rPr>
            <w:rStyle w:val="Hyperlink"/>
          </w:rPr>
          <w:t xml:space="preserve">http://arxiv.org/abs/2403.09751</w:t>
        </w:r>
      </w:hyperlink>
      <w:r>
        <w:t xml:space="preserve">.</w:t>
      </w:r>
    </w:p>
    <w:bookmarkEnd w:id="334"/>
    <w:bookmarkStart w:id="336"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35">
        <w:r>
          <w:rPr>
            <w:rStyle w:val="Hyperlink"/>
          </w:rPr>
          <w:t xml:space="preserve">http://arxiv.org/abs/2402.10588</w:t>
        </w:r>
      </w:hyperlink>
      <w:r>
        <w:t xml:space="preserve">.</w:t>
      </w:r>
    </w:p>
    <w:bookmarkEnd w:id="336"/>
    <w:bookmarkStart w:id="338"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37">
        <w:r>
          <w:rPr>
            <w:rStyle w:val="Hyperlink"/>
          </w:rPr>
          <w:t xml:space="preserve">https://doi.org/10.1038/s41746-023-00879-8</w:t>
        </w:r>
      </w:hyperlink>
      <w:r>
        <w:t xml:space="preserve">.</w:t>
      </w:r>
    </w:p>
    <w:bookmarkEnd w:id="338"/>
    <w:bookmarkStart w:id="340"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39">
        <w:r>
          <w:rPr>
            <w:rStyle w:val="Hyperlink"/>
          </w:rPr>
          <w:t xml:space="preserve">https://doi.org/10.1177/17456916231201401</w:t>
        </w:r>
      </w:hyperlink>
      <w:r>
        <w:t xml:space="preserve">.</w:t>
      </w:r>
    </w:p>
    <w:bookmarkEnd w:id="340"/>
    <w:bookmarkStart w:id="342"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41">
        <w:r>
          <w:rPr>
            <w:rStyle w:val="Hyperlink"/>
          </w:rPr>
          <w:t xml:space="preserve">https://doi.org/10.1016/j.patter.2023.100802</w:t>
        </w:r>
      </w:hyperlink>
      <w:r>
        <w:t xml:space="preserve">.</w:t>
      </w:r>
    </w:p>
    <w:bookmarkEnd w:id="342"/>
    <w:bookmarkStart w:id="344"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43">
        <w:r>
          <w:rPr>
            <w:rStyle w:val="Hyperlink"/>
          </w:rPr>
          <w:t xml:space="preserve">https://doi.org/10.2196/51308</w:t>
        </w:r>
      </w:hyperlink>
      <w:r>
        <w:t xml:space="preserve">.</w:t>
      </w:r>
    </w:p>
    <w:bookmarkEnd w:id="344"/>
    <w:bookmarkStart w:id="346"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45">
        <w:r>
          <w:rPr>
            <w:rStyle w:val="Hyperlink"/>
          </w:rPr>
          <w:t xml:space="preserve">https://doi.org/10.1038/s41592-024-02499-w</w:t>
        </w:r>
      </w:hyperlink>
      <w:r>
        <w:t xml:space="preserve">.</w:t>
      </w:r>
    </w:p>
    <w:bookmarkEnd w:id="346"/>
    <w:bookmarkStart w:id="348"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47">
        <w:r>
          <w:rPr>
            <w:rStyle w:val="Hyperlink"/>
          </w:rPr>
          <w:t xml:space="preserve">http://arxiv.org/abs/2312.07353</w:t>
        </w:r>
      </w:hyperlink>
      <w:r>
        <w:t xml:space="preserve">.</w:t>
      </w:r>
    </w:p>
    <w:bookmarkEnd w:id="348"/>
    <w:bookmarkStart w:id="350"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49">
        <w:r>
          <w:rPr>
            <w:rStyle w:val="Hyperlink"/>
          </w:rPr>
          <w:t xml:space="preserve">http://arxiv.org/abs/2406.04520</w:t>
        </w:r>
      </w:hyperlink>
      <w:r>
        <w:t xml:space="preserve">.</w:t>
      </w:r>
    </w:p>
    <w:bookmarkEnd w:id="350"/>
    <w:bookmarkStart w:id="352"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51">
        <w:r>
          <w:rPr>
            <w:rStyle w:val="Hyperlink"/>
          </w:rPr>
          <w:t xml:space="preserve">http://arxiv.org/abs/2307.13854</w:t>
        </w:r>
      </w:hyperlink>
      <w:r>
        <w:t xml:space="preserve">.</w:t>
      </w:r>
    </w:p>
    <w:bookmarkEnd w:id="352"/>
    <w:bookmarkEnd w:id="353"/>
    <w:bookmarkEnd w:id="354"/>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 Thomas Woodside and Helen Toner:</w:t>
      </w:r>
      <w:r>
        <w:t xml:space="preserve"> </w:t>
      </w:r>
      <w:hyperlink r:id="rId28">
        <w:r>
          <w:rPr>
            <w:rStyle w:val="Hyperlink"/>
          </w:rPr>
          <w:t xml:space="preserve">How Developers Steer Language Model Outputs: Large Language Models Explained, Part 2</w:t>
        </w:r>
      </w:hyperlink>
      <w:r>
        <w:t xml:space="preserve"> </w:t>
      </w:r>
      <w:r>
        <w:t xml:space="preserve">for a detailed but readable discussion.</w:t>
      </w:r>
    </w:p>
  </w:footnote>
  <w:footnote w:id="32">
    <w:p>
      <w:pPr>
        <w:pStyle w:val="FootnoteText"/>
      </w:pPr>
      <w:r>
        <w:rPr>
          <w:rStyle w:val="FootnoteReference"/>
        </w:rPr>
        <w:footnoteRef/>
      </w:r>
      <w:r>
        <w:t xml:space="preserve"> </w:t>
      </w:r>
      <w:r>
        <w:t xml:space="preserve">see</w:t>
      </w:r>
      <w:r>
        <w:t xml:space="preserve"> </w:t>
      </w:r>
      <w:hyperlink r:id="rId33">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329" Target="http://arxiv.org/abs/2201.11903" TargetMode="External" /><Relationship Type="http://schemas.openxmlformats.org/officeDocument/2006/relationships/hyperlink" Id="rId213" Target="http://arxiv.org/abs/2203.15556" TargetMode="External" /><Relationship Type="http://schemas.openxmlformats.org/officeDocument/2006/relationships/hyperlink" Id="rId250" Target="http://arxiv.org/abs/2210.12889" TargetMode="External" /><Relationship Type="http://schemas.openxmlformats.org/officeDocument/2006/relationships/hyperlink" Id="rId325" Target="http://arxiv.org/abs/2211.04325" TargetMode="External" /><Relationship Type="http://schemas.openxmlformats.org/officeDocument/2006/relationships/hyperlink" Id="rId272" Target="http://arxiv.org/abs/2301.06627" TargetMode="External" /><Relationship Type="http://schemas.openxmlformats.org/officeDocument/2006/relationships/hyperlink" Id="rId209" Target="http://arxiv.org/abs/2302.09210" TargetMode="External" /><Relationship Type="http://schemas.openxmlformats.org/officeDocument/2006/relationships/hyperlink" Id="rId256" Target="http://arxiv.org/abs/2304.09848" TargetMode="External" /><Relationship Type="http://schemas.openxmlformats.org/officeDocument/2006/relationships/hyperlink" Id="rId183" Target="http://arxiv.org/abs/2305.00118" TargetMode="External" /><Relationship Type="http://schemas.openxmlformats.org/officeDocument/2006/relationships/hyperlink" Id="rId313" Target="http://arxiv.org/abs/2305.17493" TargetMode="External" /><Relationship Type="http://schemas.openxmlformats.org/officeDocument/2006/relationships/hyperlink" Id="rId351" Target="http://arxiv.org/abs/2307.13854" TargetMode="External" /><Relationship Type="http://schemas.openxmlformats.org/officeDocument/2006/relationships/hyperlink" Id="rId252" Target="http://arxiv.org/abs/2308.04445" TargetMode="External" /><Relationship Type="http://schemas.openxmlformats.org/officeDocument/2006/relationships/hyperlink" Id="rId205" Target="http://arxiv.org/abs/2308.12539" TargetMode="External" /><Relationship Type="http://schemas.openxmlformats.org/officeDocument/2006/relationships/hyperlink" Id="rId274" Target="http://arxiv.org/abs/2309.02884" TargetMode="External" /><Relationship Type="http://schemas.openxmlformats.org/officeDocument/2006/relationships/hyperlink" Id="rId187" Target="http://arxiv.org/abs/2309.03613" TargetMode="External" /><Relationship Type="http://schemas.openxmlformats.org/officeDocument/2006/relationships/hyperlink" Id="rId293" Target="http://arxiv.org/abs/2309.08594" TargetMode="External" /><Relationship Type="http://schemas.openxmlformats.org/officeDocument/2006/relationships/hyperlink" Id="rId195" Target="http://arxiv.org/abs/2309.11690" TargetMode="External" /><Relationship Type="http://schemas.openxmlformats.org/officeDocument/2006/relationships/hyperlink" Id="rId327" Target="http://arxiv.org/abs/2309.11758" TargetMode="External" /><Relationship Type="http://schemas.openxmlformats.org/officeDocument/2006/relationships/hyperlink" Id="rId171" Target="http://arxiv.org/abs/2309.12288" TargetMode="External" /><Relationship Type="http://schemas.openxmlformats.org/officeDocument/2006/relationships/hyperlink" Id="rId289" Target="http://arxiv.org/abs/2310.17623" TargetMode="External" /><Relationship Type="http://schemas.openxmlformats.org/officeDocument/2006/relationships/hyperlink" Id="rId276" Target="http://arxiv.org/abs/2312.00164" TargetMode="External" /><Relationship Type="http://schemas.openxmlformats.org/officeDocument/2006/relationships/hyperlink" Id="rId347" Target="http://arxiv.org/abs/2312.07353" TargetMode="External" /><Relationship Type="http://schemas.openxmlformats.org/officeDocument/2006/relationships/hyperlink" Id="rId173" Target="http://arxiv.org/abs/2312.16171" TargetMode="External" /><Relationship Type="http://schemas.openxmlformats.org/officeDocument/2006/relationships/hyperlink" Id="rId282" Target="http://arxiv.org/abs/2401.03910" TargetMode="External" /><Relationship Type="http://schemas.openxmlformats.org/officeDocument/2006/relationships/hyperlink" Id="rId231" Target="http://arxiv.org/abs/2401.06416" TargetMode="External" /><Relationship Type="http://schemas.openxmlformats.org/officeDocument/2006/relationships/hyperlink" Id="rId239" Target="http://arxiv.org/abs/2401.06866" TargetMode="External" /><Relationship Type="http://schemas.openxmlformats.org/officeDocument/2006/relationships/hyperlink" Id="rId307" Target="http://arxiv.org/abs/2402.01789" TargetMode="External" /><Relationship Type="http://schemas.openxmlformats.org/officeDocument/2006/relationships/hyperlink" Id="rId227" Target="http://arxiv.org/abs/2402.04845" TargetMode="External" /><Relationship Type="http://schemas.openxmlformats.org/officeDocument/2006/relationships/hyperlink" Id="rId311" Target="http://arxiv.org/abs/2402.08797" TargetMode="External" /><Relationship Type="http://schemas.openxmlformats.org/officeDocument/2006/relationships/hyperlink" Id="rId335" Target="http://arxiv.org/abs/2402.10588" TargetMode="External" /><Relationship Type="http://schemas.openxmlformats.org/officeDocument/2006/relationships/hyperlink" Id="rId295" Target="http://arxiv.org/abs/2402.13963" TargetMode="External" /><Relationship Type="http://schemas.openxmlformats.org/officeDocument/2006/relationships/hyperlink" Id="rId260" Target="http://arxiv.org/abs/2402.14905" TargetMode="External" /><Relationship Type="http://schemas.openxmlformats.org/officeDocument/2006/relationships/hyperlink" Id="rId303" Target="http://arxiv.org/abs/2402.16786" TargetMode="External" /><Relationship Type="http://schemas.openxmlformats.org/officeDocument/2006/relationships/hyperlink" Id="rId165" Target="http://arxiv.org/abs/2403.04652" TargetMode="External" /><Relationship Type="http://schemas.openxmlformats.org/officeDocument/2006/relationships/hyperlink" Id="rId179" Target="http://arxiv.org/abs/2403.06634" TargetMode="External" /><Relationship Type="http://schemas.openxmlformats.org/officeDocument/2006/relationships/hyperlink" Id="rId333" Target="http://arxiv.org/abs/2403.09751" TargetMode="External" /><Relationship Type="http://schemas.openxmlformats.org/officeDocument/2006/relationships/hyperlink" Id="rId291" Target="http://arxiv.org/abs/2403.17881" TargetMode="External" /><Relationship Type="http://schemas.openxmlformats.org/officeDocument/2006/relationships/hyperlink" Id="rId331" Target="http://arxiv.org/abs/2403.18802" TargetMode="External" /><Relationship Type="http://schemas.openxmlformats.org/officeDocument/2006/relationships/hyperlink" Id="rId254" Target="http://arxiv.org/abs/2403.20041" TargetMode="External" /><Relationship Type="http://schemas.openxmlformats.org/officeDocument/2006/relationships/hyperlink" Id="rId207" Target="http://arxiv.org/abs/2404.03264" TargetMode="External" /><Relationship Type="http://schemas.openxmlformats.org/officeDocument/2006/relationships/hyperlink" Id="rId323" Target="http://arxiv.org/abs/2404.04125" TargetMode="External" /><Relationship Type="http://schemas.openxmlformats.org/officeDocument/2006/relationships/hyperlink" Id="rId163" Target="http://arxiv.org/abs/2404.14219" TargetMode="External" /><Relationship Type="http://schemas.openxmlformats.org/officeDocument/2006/relationships/hyperlink" Id="rId221" Target="http://arxiv.org/abs/2404.18021" TargetMode="External" /><Relationship Type="http://schemas.openxmlformats.org/officeDocument/2006/relationships/hyperlink" Id="rId309" Target="http://arxiv.org/abs/2404.18416" TargetMode="External" /><Relationship Type="http://schemas.openxmlformats.org/officeDocument/2006/relationships/hyperlink" Id="rId349" Target="http://arxiv.org/abs/2406.04520" TargetMode="External" /><Relationship Type="http://schemas.openxmlformats.org/officeDocument/2006/relationships/hyperlink" Id="rId319" Target="http://arxiv.org/abs/2407.09025" TargetMode="External" /><Relationship Type="http://schemas.openxmlformats.org/officeDocument/2006/relationships/hyperlink" Id="rId264" Target="http://arxiv.org/abs/2408.06292" TargetMode="External" /><Relationship Type="http://schemas.openxmlformats.org/officeDocument/2006/relationships/hyperlink" Id="rId268" Target="http://arxiv.org/abs/2408.11876" TargetMode="External" /><Relationship Type="http://schemas.openxmlformats.org/officeDocument/2006/relationships/hyperlink" Id="rId33" Target="https://arxiv.org/pdf/2305.00118.pdf" TargetMode="External" /><Relationship Type="http://schemas.openxmlformats.org/officeDocument/2006/relationships/hyperlink" Id="rId31" Target="https://commoncrawl.org/" TargetMode="External" /><Relationship Type="http://schemas.openxmlformats.org/officeDocument/2006/relationships/hyperlink" Id="rId28" Target="https://cset.georgetown.edu/article/how-developers-steer-language-model-outputs-large-language-models-explained-part-2/" TargetMode="External" /><Relationship Type="http://schemas.openxmlformats.org/officeDocument/2006/relationships/hyperlink" Id="rId233" Target="https://doi.org/10.1001/jama.2023.8288" TargetMode="External" /><Relationship Type="http://schemas.openxmlformats.org/officeDocument/2006/relationships/hyperlink" Id="rId201" Target="https://doi.org/10.1001/jamanetworkopen.2024.40969" TargetMode="External" /><Relationship Type="http://schemas.openxmlformats.org/officeDocument/2006/relationships/hyperlink" Id="rId211" Target="https://doi.org/10.1007/s10676-024-09775-5" TargetMode="External" /><Relationship Type="http://schemas.openxmlformats.org/officeDocument/2006/relationships/hyperlink" Id="rId317" Target="https://doi.org/10.1016/j.ajp.2023.103705" TargetMode="External" /><Relationship Type="http://schemas.openxmlformats.org/officeDocument/2006/relationships/hyperlink" Id="rId235" Target="https://doi.org/10.1016/j.mcpdig.2023.08.005" TargetMode="External" /><Relationship Type="http://schemas.openxmlformats.org/officeDocument/2006/relationships/hyperlink" Id="rId245" Target="https://doi.org/10.1016/j.oret.2016.12.009" TargetMode="External" /><Relationship Type="http://schemas.openxmlformats.org/officeDocument/2006/relationships/hyperlink" Id="rId341" Target="https://doi.org/10.1016/j.patter.2023.100802" TargetMode="External" /><Relationship Type="http://schemas.openxmlformats.org/officeDocument/2006/relationships/hyperlink" Id="rId237" Target="https://doi.org/10.1038/s41571-020-0329-7" TargetMode="External" /><Relationship Type="http://schemas.openxmlformats.org/officeDocument/2006/relationships/hyperlink" Id="rId315" Target="https://doi.org/10.1038/s41586-023-06291-2" TargetMode="External" /><Relationship Type="http://schemas.openxmlformats.org/officeDocument/2006/relationships/hyperlink" Id="rId287" Target="https://doi.org/10.1038/s41586-023-06802-1" TargetMode="External" /><Relationship Type="http://schemas.openxmlformats.org/officeDocument/2006/relationships/hyperlink" Id="rId301" Target="https://doi.org/10.1038/s41586-023-06924-6" TargetMode="External" /><Relationship Type="http://schemas.openxmlformats.org/officeDocument/2006/relationships/hyperlink" Id="rId185" Target="https://doi.org/10.1038/s41591-018-0107-6" TargetMode="External" /><Relationship Type="http://schemas.openxmlformats.org/officeDocument/2006/relationships/hyperlink" Id="rId197" Target="https://doi.org/10.1038/s41591-018-0316-z" TargetMode="External" /><Relationship Type="http://schemas.openxmlformats.org/officeDocument/2006/relationships/hyperlink" Id="rId345" Target="https://doi.org/10.1038/s41592-024-02499-w" TargetMode="External" /><Relationship Type="http://schemas.openxmlformats.org/officeDocument/2006/relationships/hyperlink" Id="rId175" Target="https://doi.org/10.1038/s41598-024-61221-0" TargetMode="External" /><Relationship Type="http://schemas.openxmlformats.org/officeDocument/2006/relationships/hyperlink" Id="rId280" Target="https://doi.org/10.1038/s41746-023-00873-0" TargetMode="External" /><Relationship Type="http://schemas.openxmlformats.org/officeDocument/2006/relationships/hyperlink" Id="rId337" Target="https://doi.org/10.1038/s41746-023-00879-8" TargetMode="External" /><Relationship Type="http://schemas.openxmlformats.org/officeDocument/2006/relationships/hyperlink" Id="rId247" Target="https://doi.org/10.1056/NEJMsr2214184" TargetMode="External" /><Relationship Type="http://schemas.openxmlformats.org/officeDocument/2006/relationships/hyperlink" Id="rId223" Target="https://doi.org/10.1073/pnas.2304748120" TargetMode="External" /><Relationship Type="http://schemas.openxmlformats.org/officeDocument/2006/relationships/hyperlink" Id="rId191" Target="https://doi.org/10.1080/09515080701239510" TargetMode="External" /><Relationship Type="http://schemas.openxmlformats.org/officeDocument/2006/relationships/hyperlink" Id="rId266" Target="https://doi.org/10.1093/bib/bbac409" TargetMode="External" /><Relationship Type="http://schemas.openxmlformats.org/officeDocument/2006/relationships/hyperlink" Id="rId215" Target="https://doi.org/10.1093/jncics/pkad010" TargetMode="External" /><Relationship Type="http://schemas.openxmlformats.org/officeDocument/2006/relationships/hyperlink" Id="rId241" Target="https://doi.org/10.1101/2022.12.19.22283643" TargetMode="External" /><Relationship Type="http://schemas.openxmlformats.org/officeDocument/2006/relationships/hyperlink" Id="rId167" Target="https://doi.org/10.1101/2023.09.11.556673" TargetMode="External" /><Relationship Type="http://schemas.openxmlformats.org/officeDocument/2006/relationships/hyperlink" Id="rId203" Target="https://doi.org/10.1126/science.adi1778" TargetMode="External" /><Relationship Type="http://schemas.openxmlformats.org/officeDocument/2006/relationships/hyperlink" Id="rId169" Target="https://doi.org/10.1145/3442188.3445922" TargetMode="External" /><Relationship Type="http://schemas.openxmlformats.org/officeDocument/2006/relationships/hyperlink" Id="rId297" Target="https://doi.org/10.1145/3531146.3533158" TargetMode="External" /><Relationship Type="http://schemas.openxmlformats.org/officeDocument/2006/relationships/hyperlink" Id="rId339" Target="https://doi.org/10.1177/17456916231201401" TargetMode="External" /><Relationship Type="http://schemas.openxmlformats.org/officeDocument/2006/relationships/hyperlink" Id="rId219" Target="https://doi.org/10.2139/ssrn.2325101" TargetMode="External" /><Relationship Type="http://schemas.openxmlformats.org/officeDocument/2006/relationships/hyperlink" Id="rId299" Target="https://doi.org/10.2196/48659" TargetMode="External" /><Relationship Type="http://schemas.openxmlformats.org/officeDocument/2006/relationships/hyperlink" Id="rId217" Target="https://doi.org/10.2196/48966" TargetMode="External" /><Relationship Type="http://schemas.openxmlformats.org/officeDocument/2006/relationships/hyperlink" Id="rId278" Target="https://doi.org/10.2196/50638" TargetMode="External" /><Relationship Type="http://schemas.openxmlformats.org/officeDocument/2006/relationships/hyperlink" Id="rId343" Target="https://doi.org/10.2196/51308" TargetMode="External" /><Relationship Type="http://schemas.openxmlformats.org/officeDocument/2006/relationships/hyperlink" Id="rId305" Target="https://doi.org/10.3390/socsci12030148" TargetMode="External" /><Relationship Type="http://schemas.openxmlformats.org/officeDocument/2006/relationships/hyperlink" Id="rId189" Target="https://doi.org/10.48550/ARXIV.2104.08758" TargetMode="External" /><Relationship Type="http://schemas.openxmlformats.org/officeDocument/2006/relationships/hyperlink" Id="rId262" Target="https://doi.org/10.48550/ARXIV.2209.07663" TargetMode="External" /><Relationship Type="http://schemas.openxmlformats.org/officeDocument/2006/relationships/hyperlink" Id="rId285" Target="https://doi.org/10.48550/ARXIV.2303.13375" TargetMode="External" /><Relationship Type="http://schemas.openxmlformats.org/officeDocument/2006/relationships/hyperlink" Id="rId181" Target="https://doi.org/10.48550/ARXIV.2305.00118" TargetMode="External" /><Relationship Type="http://schemas.openxmlformats.org/officeDocument/2006/relationships/hyperlink" Id="rId199" Target="https://doi.org/10.48550/ARXIV.2305.08283" TargetMode="External" /><Relationship Type="http://schemas.openxmlformats.org/officeDocument/2006/relationships/hyperlink" Id="rId225" Target="https://doi.org/10.48550/ARXIV.2305.08596" TargetMode="External" /><Relationship Type="http://schemas.openxmlformats.org/officeDocument/2006/relationships/hyperlink" Id="rId270" Target="https://doi.org/10.48550/ARXIV.2306.14308" TargetMode="External" /><Relationship Type="http://schemas.openxmlformats.org/officeDocument/2006/relationships/hyperlink" Id="rId229" Target="https://doi.org/10.48550/ARXIV.2307.10169" TargetMode="External" /><Relationship Type="http://schemas.openxmlformats.org/officeDocument/2006/relationships/hyperlink" Id="rId258" Target="https://doi.org/10.48550/ARXIV.2308.03688" TargetMode="External" /><Relationship Type="http://schemas.openxmlformats.org/officeDocument/2006/relationships/hyperlink" Id="rId177" Target="https://doi.org/10.48550/ARXIV.2308.08708" TargetMode="External" /><Relationship Type="http://schemas.openxmlformats.org/officeDocument/2006/relationships/hyperlink" Id="rId321" Target="https://doi.org/10.48550/ARXIV.2401.05654" TargetMode="External" /><Relationship Type="http://schemas.openxmlformats.org/officeDocument/2006/relationships/hyperlink" Id="rId193" Target="https://epochai.org/data/large-scale-ai-models" TargetMode="External" /><Relationship Type="http://schemas.openxmlformats.org/officeDocument/2006/relationships/hyperlink" Id="rId36" Target="https://news.ycombinator.com/item?id=35627102" TargetMode="External" /><Relationship Type="http://schemas.openxmlformats.org/officeDocument/2006/relationships/hyperlink" Id="rId34" Target="https://ustr.gov/sites/default/files/IssueAreas/IP/2021%20Notorious%20Markets%20List.pdf?itid=lk_inline_enhanced-template" TargetMode="External" /><Relationship Type="http://schemas.openxmlformats.org/officeDocument/2006/relationships/hyperlink" Id="rId46" Target="https://www.nytimes.com/2024/04/06/technology/ai-data-tech-takeaways.html?unlocked_article_code=1.iU0.gYFb.5TxfSKhA4ZYj" TargetMode="External" /><Relationship Type="http://schemas.openxmlformats.org/officeDocument/2006/relationships/hyperlink" Id="rId35"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29" Target="http://arxiv.org/abs/2201.11903" TargetMode="External" /><Relationship Type="http://schemas.openxmlformats.org/officeDocument/2006/relationships/hyperlink" Id="rId213" Target="http://arxiv.org/abs/2203.15556" TargetMode="External" /><Relationship Type="http://schemas.openxmlformats.org/officeDocument/2006/relationships/hyperlink" Id="rId250" Target="http://arxiv.org/abs/2210.12889" TargetMode="External" /><Relationship Type="http://schemas.openxmlformats.org/officeDocument/2006/relationships/hyperlink" Id="rId325" Target="http://arxiv.org/abs/2211.04325" TargetMode="External" /><Relationship Type="http://schemas.openxmlformats.org/officeDocument/2006/relationships/hyperlink" Id="rId272" Target="http://arxiv.org/abs/2301.06627" TargetMode="External" /><Relationship Type="http://schemas.openxmlformats.org/officeDocument/2006/relationships/hyperlink" Id="rId209" Target="http://arxiv.org/abs/2302.09210" TargetMode="External" /><Relationship Type="http://schemas.openxmlformats.org/officeDocument/2006/relationships/hyperlink" Id="rId256" Target="http://arxiv.org/abs/2304.09848" TargetMode="External" /><Relationship Type="http://schemas.openxmlformats.org/officeDocument/2006/relationships/hyperlink" Id="rId183" Target="http://arxiv.org/abs/2305.00118" TargetMode="External" /><Relationship Type="http://schemas.openxmlformats.org/officeDocument/2006/relationships/hyperlink" Id="rId313" Target="http://arxiv.org/abs/2305.17493" TargetMode="External" /><Relationship Type="http://schemas.openxmlformats.org/officeDocument/2006/relationships/hyperlink" Id="rId351" Target="http://arxiv.org/abs/2307.13854" TargetMode="External" /><Relationship Type="http://schemas.openxmlformats.org/officeDocument/2006/relationships/hyperlink" Id="rId252" Target="http://arxiv.org/abs/2308.04445" TargetMode="External" /><Relationship Type="http://schemas.openxmlformats.org/officeDocument/2006/relationships/hyperlink" Id="rId205" Target="http://arxiv.org/abs/2308.12539" TargetMode="External" /><Relationship Type="http://schemas.openxmlformats.org/officeDocument/2006/relationships/hyperlink" Id="rId274" Target="http://arxiv.org/abs/2309.02884" TargetMode="External" /><Relationship Type="http://schemas.openxmlformats.org/officeDocument/2006/relationships/hyperlink" Id="rId187" Target="http://arxiv.org/abs/2309.03613" TargetMode="External" /><Relationship Type="http://schemas.openxmlformats.org/officeDocument/2006/relationships/hyperlink" Id="rId293" Target="http://arxiv.org/abs/2309.08594" TargetMode="External" /><Relationship Type="http://schemas.openxmlformats.org/officeDocument/2006/relationships/hyperlink" Id="rId195" Target="http://arxiv.org/abs/2309.11690" TargetMode="External" /><Relationship Type="http://schemas.openxmlformats.org/officeDocument/2006/relationships/hyperlink" Id="rId327" Target="http://arxiv.org/abs/2309.11758" TargetMode="External" /><Relationship Type="http://schemas.openxmlformats.org/officeDocument/2006/relationships/hyperlink" Id="rId171" Target="http://arxiv.org/abs/2309.12288" TargetMode="External" /><Relationship Type="http://schemas.openxmlformats.org/officeDocument/2006/relationships/hyperlink" Id="rId289" Target="http://arxiv.org/abs/2310.17623" TargetMode="External" /><Relationship Type="http://schemas.openxmlformats.org/officeDocument/2006/relationships/hyperlink" Id="rId276" Target="http://arxiv.org/abs/2312.00164" TargetMode="External" /><Relationship Type="http://schemas.openxmlformats.org/officeDocument/2006/relationships/hyperlink" Id="rId347" Target="http://arxiv.org/abs/2312.07353" TargetMode="External" /><Relationship Type="http://schemas.openxmlformats.org/officeDocument/2006/relationships/hyperlink" Id="rId173" Target="http://arxiv.org/abs/2312.16171" TargetMode="External" /><Relationship Type="http://schemas.openxmlformats.org/officeDocument/2006/relationships/hyperlink" Id="rId282" Target="http://arxiv.org/abs/2401.03910" TargetMode="External" /><Relationship Type="http://schemas.openxmlformats.org/officeDocument/2006/relationships/hyperlink" Id="rId231" Target="http://arxiv.org/abs/2401.06416" TargetMode="External" /><Relationship Type="http://schemas.openxmlformats.org/officeDocument/2006/relationships/hyperlink" Id="rId239" Target="http://arxiv.org/abs/2401.06866" TargetMode="External" /><Relationship Type="http://schemas.openxmlformats.org/officeDocument/2006/relationships/hyperlink" Id="rId307" Target="http://arxiv.org/abs/2402.01789" TargetMode="External" /><Relationship Type="http://schemas.openxmlformats.org/officeDocument/2006/relationships/hyperlink" Id="rId227" Target="http://arxiv.org/abs/2402.04845" TargetMode="External" /><Relationship Type="http://schemas.openxmlformats.org/officeDocument/2006/relationships/hyperlink" Id="rId311" Target="http://arxiv.org/abs/2402.08797" TargetMode="External" /><Relationship Type="http://schemas.openxmlformats.org/officeDocument/2006/relationships/hyperlink" Id="rId335" Target="http://arxiv.org/abs/2402.10588" TargetMode="External" /><Relationship Type="http://schemas.openxmlformats.org/officeDocument/2006/relationships/hyperlink" Id="rId295" Target="http://arxiv.org/abs/2402.13963" TargetMode="External" /><Relationship Type="http://schemas.openxmlformats.org/officeDocument/2006/relationships/hyperlink" Id="rId260" Target="http://arxiv.org/abs/2402.14905" TargetMode="External" /><Relationship Type="http://schemas.openxmlformats.org/officeDocument/2006/relationships/hyperlink" Id="rId303" Target="http://arxiv.org/abs/2402.16786" TargetMode="External" /><Relationship Type="http://schemas.openxmlformats.org/officeDocument/2006/relationships/hyperlink" Id="rId165" Target="http://arxiv.org/abs/2403.04652" TargetMode="External" /><Relationship Type="http://schemas.openxmlformats.org/officeDocument/2006/relationships/hyperlink" Id="rId179" Target="http://arxiv.org/abs/2403.06634" TargetMode="External" /><Relationship Type="http://schemas.openxmlformats.org/officeDocument/2006/relationships/hyperlink" Id="rId333" Target="http://arxiv.org/abs/2403.09751" TargetMode="External" /><Relationship Type="http://schemas.openxmlformats.org/officeDocument/2006/relationships/hyperlink" Id="rId291" Target="http://arxiv.org/abs/2403.17881" TargetMode="External" /><Relationship Type="http://schemas.openxmlformats.org/officeDocument/2006/relationships/hyperlink" Id="rId331" Target="http://arxiv.org/abs/2403.18802" TargetMode="External" /><Relationship Type="http://schemas.openxmlformats.org/officeDocument/2006/relationships/hyperlink" Id="rId254" Target="http://arxiv.org/abs/2403.20041" TargetMode="External" /><Relationship Type="http://schemas.openxmlformats.org/officeDocument/2006/relationships/hyperlink" Id="rId207" Target="http://arxiv.org/abs/2404.03264" TargetMode="External" /><Relationship Type="http://schemas.openxmlformats.org/officeDocument/2006/relationships/hyperlink" Id="rId323" Target="http://arxiv.org/abs/2404.04125" TargetMode="External" /><Relationship Type="http://schemas.openxmlformats.org/officeDocument/2006/relationships/hyperlink" Id="rId163" Target="http://arxiv.org/abs/2404.14219" TargetMode="External" /><Relationship Type="http://schemas.openxmlformats.org/officeDocument/2006/relationships/hyperlink" Id="rId221" Target="http://arxiv.org/abs/2404.18021" TargetMode="External" /><Relationship Type="http://schemas.openxmlformats.org/officeDocument/2006/relationships/hyperlink" Id="rId309" Target="http://arxiv.org/abs/2404.18416" TargetMode="External" /><Relationship Type="http://schemas.openxmlformats.org/officeDocument/2006/relationships/hyperlink" Id="rId349" Target="http://arxiv.org/abs/2406.04520" TargetMode="External" /><Relationship Type="http://schemas.openxmlformats.org/officeDocument/2006/relationships/hyperlink" Id="rId319" Target="http://arxiv.org/abs/2407.09025" TargetMode="External" /><Relationship Type="http://schemas.openxmlformats.org/officeDocument/2006/relationships/hyperlink" Id="rId264" Target="http://arxiv.org/abs/2408.06292" TargetMode="External" /><Relationship Type="http://schemas.openxmlformats.org/officeDocument/2006/relationships/hyperlink" Id="rId268" Target="http://arxiv.org/abs/2408.11876" TargetMode="External" /><Relationship Type="http://schemas.openxmlformats.org/officeDocument/2006/relationships/hyperlink" Id="rId33" Target="https://arxiv.org/pdf/2305.00118.pdf" TargetMode="External" /><Relationship Type="http://schemas.openxmlformats.org/officeDocument/2006/relationships/hyperlink" Id="rId31" Target="https://commoncrawl.org/" TargetMode="External" /><Relationship Type="http://schemas.openxmlformats.org/officeDocument/2006/relationships/hyperlink" Id="rId28" Target="https://cset.georgetown.edu/article/how-developers-steer-language-model-outputs-large-language-models-explained-part-2/" TargetMode="External" /><Relationship Type="http://schemas.openxmlformats.org/officeDocument/2006/relationships/hyperlink" Id="rId233" Target="https://doi.org/10.1001/jama.2023.8288" TargetMode="External" /><Relationship Type="http://schemas.openxmlformats.org/officeDocument/2006/relationships/hyperlink" Id="rId201" Target="https://doi.org/10.1001/jamanetworkopen.2024.40969" TargetMode="External" /><Relationship Type="http://schemas.openxmlformats.org/officeDocument/2006/relationships/hyperlink" Id="rId211" Target="https://doi.org/10.1007/s10676-024-09775-5" TargetMode="External" /><Relationship Type="http://schemas.openxmlformats.org/officeDocument/2006/relationships/hyperlink" Id="rId317" Target="https://doi.org/10.1016/j.ajp.2023.103705" TargetMode="External" /><Relationship Type="http://schemas.openxmlformats.org/officeDocument/2006/relationships/hyperlink" Id="rId235" Target="https://doi.org/10.1016/j.mcpdig.2023.08.005" TargetMode="External" /><Relationship Type="http://schemas.openxmlformats.org/officeDocument/2006/relationships/hyperlink" Id="rId245" Target="https://doi.org/10.1016/j.oret.2016.12.009" TargetMode="External" /><Relationship Type="http://schemas.openxmlformats.org/officeDocument/2006/relationships/hyperlink" Id="rId341" Target="https://doi.org/10.1016/j.patter.2023.100802" TargetMode="External" /><Relationship Type="http://schemas.openxmlformats.org/officeDocument/2006/relationships/hyperlink" Id="rId237" Target="https://doi.org/10.1038/s41571-020-0329-7" TargetMode="External" /><Relationship Type="http://schemas.openxmlformats.org/officeDocument/2006/relationships/hyperlink" Id="rId315" Target="https://doi.org/10.1038/s41586-023-06291-2" TargetMode="External" /><Relationship Type="http://schemas.openxmlformats.org/officeDocument/2006/relationships/hyperlink" Id="rId287" Target="https://doi.org/10.1038/s41586-023-06802-1" TargetMode="External" /><Relationship Type="http://schemas.openxmlformats.org/officeDocument/2006/relationships/hyperlink" Id="rId301" Target="https://doi.org/10.1038/s41586-023-06924-6" TargetMode="External" /><Relationship Type="http://schemas.openxmlformats.org/officeDocument/2006/relationships/hyperlink" Id="rId185" Target="https://doi.org/10.1038/s41591-018-0107-6" TargetMode="External" /><Relationship Type="http://schemas.openxmlformats.org/officeDocument/2006/relationships/hyperlink" Id="rId197" Target="https://doi.org/10.1038/s41591-018-0316-z" TargetMode="External" /><Relationship Type="http://schemas.openxmlformats.org/officeDocument/2006/relationships/hyperlink" Id="rId345" Target="https://doi.org/10.1038/s41592-024-02499-w" TargetMode="External" /><Relationship Type="http://schemas.openxmlformats.org/officeDocument/2006/relationships/hyperlink" Id="rId175" Target="https://doi.org/10.1038/s41598-024-61221-0" TargetMode="External" /><Relationship Type="http://schemas.openxmlformats.org/officeDocument/2006/relationships/hyperlink" Id="rId280" Target="https://doi.org/10.1038/s41746-023-00873-0" TargetMode="External" /><Relationship Type="http://schemas.openxmlformats.org/officeDocument/2006/relationships/hyperlink" Id="rId337" Target="https://doi.org/10.1038/s41746-023-00879-8" TargetMode="External" /><Relationship Type="http://schemas.openxmlformats.org/officeDocument/2006/relationships/hyperlink" Id="rId247" Target="https://doi.org/10.1056/NEJMsr2214184" TargetMode="External" /><Relationship Type="http://schemas.openxmlformats.org/officeDocument/2006/relationships/hyperlink" Id="rId223" Target="https://doi.org/10.1073/pnas.2304748120" TargetMode="External" /><Relationship Type="http://schemas.openxmlformats.org/officeDocument/2006/relationships/hyperlink" Id="rId191" Target="https://doi.org/10.1080/09515080701239510" TargetMode="External" /><Relationship Type="http://schemas.openxmlformats.org/officeDocument/2006/relationships/hyperlink" Id="rId266" Target="https://doi.org/10.1093/bib/bbac409" TargetMode="External" /><Relationship Type="http://schemas.openxmlformats.org/officeDocument/2006/relationships/hyperlink" Id="rId215" Target="https://doi.org/10.1093/jncics/pkad010" TargetMode="External" /><Relationship Type="http://schemas.openxmlformats.org/officeDocument/2006/relationships/hyperlink" Id="rId241" Target="https://doi.org/10.1101/2022.12.19.22283643" TargetMode="External" /><Relationship Type="http://schemas.openxmlformats.org/officeDocument/2006/relationships/hyperlink" Id="rId167" Target="https://doi.org/10.1101/2023.09.11.556673" TargetMode="External" /><Relationship Type="http://schemas.openxmlformats.org/officeDocument/2006/relationships/hyperlink" Id="rId203" Target="https://doi.org/10.1126/science.adi1778" TargetMode="External" /><Relationship Type="http://schemas.openxmlformats.org/officeDocument/2006/relationships/hyperlink" Id="rId169" Target="https://doi.org/10.1145/3442188.3445922" TargetMode="External" /><Relationship Type="http://schemas.openxmlformats.org/officeDocument/2006/relationships/hyperlink" Id="rId297" Target="https://doi.org/10.1145/3531146.3533158" TargetMode="External" /><Relationship Type="http://schemas.openxmlformats.org/officeDocument/2006/relationships/hyperlink" Id="rId339" Target="https://doi.org/10.1177/17456916231201401" TargetMode="External" /><Relationship Type="http://schemas.openxmlformats.org/officeDocument/2006/relationships/hyperlink" Id="rId219" Target="https://doi.org/10.2139/ssrn.2325101" TargetMode="External" /><Relationship Type="http://schemas.openxmlformats.org/officeDocument/2006/relationships/hyperlink" Id="rId299" Target="https://doi.org/10.2196/48659" TargetMode="External" /><Relationship Type="http://schemas.openxmlformats.org/officeDocument/2006/relationships/hyperlink" Id="rId217" Target="https://doi.org/10.2196/48966" TargetMode="External" /><Relationship Type="http://schemas.openxmlformats.org/officeDocument/2006/relationships/hyperlink" Id="rId278" Target="https://doi.org/10.2196/50638" TargetMode="External" /><Relationship Type="http://schemas.openxmlformats.org/officeDocument/2006/relationships/hyperlink" Id="rId343" Target="https://doi.org/10.2196/51308" TargetMode="External" /><Relationship Type="http://schemas.openxmlformats.org/officeDocument/2006/relationships/hyperlink" Id="rId305" Target="https://doi.org/10.3390/socsci12030148" TargetMode="External" /><Relationship Type="http://schemas.openxmlformats.org/officeDocument/2006/relationships/hyperlink" Id="rId189" Target="https://doi.org/10.48550/ARXIV.2104.08758" TargetMode="External" /><Relationship Type="http://schemas.openxmlformats.org/officeDocument/2006/relationships/hyperlink" Id="rId262" Target="https://doi.org/10.48550/ARXIV.2209.07663" TargetMode="External" /><Relationship Type="http://schemas.openxmlformats.org/officeDocument/2006/relationships/hyperlink" Id="rId285" Target="https://doi.org/10.48550/ARXIV.2303.13375" TargetMode="External" /><Relationship Type="http://schemas.openxmlformats.org/officeDocument/2006/relationships/hyperlink" Id="rId181" Target="https://doi.org/10.48550/ARXIV.2305.00118" TargetMode="External" /><Relationship Type="http://schemas.openxmlformats.org/officeDocument/2006/relationships/hyperlink" Id="rId199" Target="https://doi.org/10.48550/ARXIV.2305.08283" TargetMode="External" /><Relationship Type="http://schemas.openxmlformats.org/officeDocument/2006/relationships/hyperlink" Id="rId225" Target="https://doi.org/10.48550/ARXIV.2305.08596" TargetMode="External" /><Relationship Type="http://schemas.openxmlformats.org/officeDocument/2006/relationships/hyperlink" Id="rId270" Target="https://doi.org/10.48550/ARXIV.2306.14308" TargetMode="External" /><Relationship Type="http://schemas.openxmlformats.org/officeDocument/2006/relationships/hyperlink" Id="rId229" Target="https://doi.org/10.48550/ARXIV.2307.10169" TargetMode="External" /><Relationship Type="http://schemas.openxmlformats.org/officeDocument/2006/relationships/hyperlink" Id="rId258" Target="https://doi.org/10.48550/ARXIV.2308.03688" TargetMode="External" /><Relationship Type="http://schemas.openxmlformats.org/officeDocument/2006/relationships/hyperlink" Id="rId177" Target="https://doi.org/10.48550/ARXIV.2308.08708" TargetMode="External" /><Relationship Type="http://schemas.openxmlformats.org/officeDocument/2006/relationships/hyperlink" Id="rId321" Target="https://doi.org/10.48550/ARXIV.2401.05654" TargetMode="External" /><Relationship Type="http://schemas.openxmlformats.org/officeDocument/2006/relationships/hyperlink" Id="rId193" Target="https://epochai.org/data/large-scale-ai-models" TargetMode="External" /><Relationship Type="http://schemas.openxmlformats.org/officeDocument/2006/relationships/hyperlink" Id="rId36" Target="https://news.ycombinator.com/item?id=35627102" TargetMode="External" /><Relationship Type="http://schemas.openxmlformats.org/officeDocument/2006/relationships/hyperlink" Id="rId34" Target="https://ustr.gov/sites/default/files/IssueAreas/IP/2021%20Notorious%20Markets%20List.pdf?itid=lk_inline_enhanced-template" TargetMode="External" /><Relationship Type="http://schemas.openxmlformats.org/officeDocument/2006/relationships/hyperlink" Id="rId46" Target="https://www.nytimes.com/2024/04/06/technology/ai-data-tech-takeaways.html?unlocked_article_code=1.iU0.gYFb.5TxfSKhA4ZYj" TargetMode="External" /><Relationship Type="http://schemas.openxmlformats.org/officeDocument/2006/relationships/hyperlink" Id="rId35"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2025-02-03T14:48:32Z</dcterms:created>
  <dcterms:modified xsi:type="dcterms:W3CDTF">2025-02-03T14:48:32Z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Invalid Date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