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52.svg" ContentType="image/svg+xml"/>
  <Override PartName="/word/media/rId121.svg" ContentType="image/svg+xml"/>
  <Override PartName="/word/media/rId110.svg" ContentType="image/svg+xml"/>
  <Override PartName="/word/media/rId116.svg" ContentType="image/svg+xml"/>
  <Override PartName="/word/media/rId113.png" ContentType="image/png"/>
  <Override PartName="/word/media/rId119.png" ContentType="image/png"/>
  <Override PartName="/word/media/rId124.png" ContentType="image/png"/>
  <Override PartName="/word/media/rId55.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Current word count:</w:t>
      </w:r>
    </w:p>
    <w:p>
      <w:pPr>
        <w:pStyle w:val="SourceCode"/>
      </w:pPr>
      <w:r>
        <w:rPr>
          <w:rStyle w:val="VerbatimChar"/>
        </w:rPr>
        <w:t xml:space="preserve">30671</w:t>
      </w:r>
    </w:p>
    <w:bookmarkEnd w:id="20"/>
    <w:bookmarkStart w:id="21" w:name="introduction"/>
    <w:p>
      <w:pPr>
        <w:pStyle w:val="Heading1"/>
      </w:pPr>
      <w:r>
        <w:t xml:space="preserve">Introduction</w:t>
      </w:r>
    </w:p>
    <w:p>
      <w:pPr>
        <w:pStyle w:val="FirstParagraph"/>
      </w:pPr>
      <w:r>
        <w:t xml:space="preserve">In 2021, a fascinating experiment took place in the world of classical music. A team of music historians, musicologists, composers, and computer scientists gathered to undertake an unprecedented task: completing Beethoven’s unfinished Tenth Symphony with the help of artificial intelligence. Beethoven had begun composing this symphony but died in 1827 before making significant progress, leaving behind only a few musical sketches rather than a substantive draft.</w:t>
      </w:r>
    </w:p>
    <w:p>
      <w:pPr>
        <w:pStyle w:val="BodyText"/>
      </w:pPr>
      <w:r>
        <w:t xml:space="preserve">The team approached this challenge using the two-step process typical of AI applications. First came the training phase, where they fed Beethoven’s entire body of work—his completed symphonies, chamber music, and piano compositions—into their AI system, along with the sketches he had started for the Tenth Symphony. Then came the inference phase, where they asked the AI to generate the rest of the symphony based on what it had learned.</w:t>
      </w:r>
    </w:p>
    <w:p>
      <w:pPr>
        <w:pStyle w:val="BodyText"/>
      </w:pPr>
      <w:r>
        <w:t xml:space="preserve">This project neatly encapsulates a common aspiration: the idea that AI might eventually replace human creative work. Here was a team of professionals training a machine to replicate the work of a human genius. The stakes were high, with considerable publicity surrounding the announcement that the AI-generated Tenth Symphony would premiere in Bonn, Germany—Beethoven’s birthplace—on October 9, 2021.</w:t>
      </w:r>
    </w:p>
    <w:p>
      <w:pPr>
        <w:pStyle w:val="BodyText"/>
      </w:pPr>
      <w:r>
        <w:t xml:space="preserve">When the performance finally took place, the initial response was impressive. The music did sound Beethoven-esque in many parts. Yet in the days and months that followed, a consensus emerged: while technically competent, the AI-generated symphony lacked the essential qualities that made Beethoven’s actual works masterpieces. It missed the passion, spirit, and tangible human touch that defines great art. Instead, it sounded somewhat mechanical and betrayed its artificial genesis through repetitive patterns. It was precise and competent, but ultimately deficient in its ability to convey emotion, to elevate, and to inspire listeners.</w:t>
      </w:r>
    </w:p>
    <w:p>
      <w:pPr>
        <w:pStyle w:val="BodyText"/>
      </w:pPr>
      <w:r>
        <w:t xml:space="preserve">Among the many expert opinions we reviewed, one comment from music critic and Beethoven scholar Jan Swafford particularly resonated. He described the AI composition as</w:t>
      </w:r>
      <w:r>
        <w:t xml:space="preserve"> </w:t>
      </w:r>
      <w:r>
        <w:t xml:space="preserve">“aimless and uninspired”</w:t>
      </w:r>
      <w:r>
        <w:t xml:space="preserve"> </w:t>
      </w:r>
      <w:r>
        <w:t xml:space="preserve">and observed that what audiences fundamentally want is</w:t>
      </w:r>
      <w:r>
        <w:t xml:space="preserve"> </w:t>
      </w:r>
      <w:r>
        <w:t xml:space="preserve">“to see the human doing it.”</w:t>
      </w:r>
      <w:r>
        <w:t xml:space="preserve"> </w:t>
      </w:r>
      <w:r>
        <w:t xml:space="preserve">This insight—that humans want to see other humans create—forms the central thesis of our book.</w:t>
      </w:r>
    </w:p>
    <w:p>
      <w:pPr>
        <w:pStyle w:val="BodyText"/>
      </w:pPr>
      <w:r>
        <w:t xml:space="preserve">We believe AI can serve as an extraordinarily effective assistant to humans across numerous domains, but it will never satisfactorily replace the human element. Leadership, teamwork, and creative work require the inspiration and judgment that only humans can provide. An AI program, no matter how sophisticated, cannot replicate these quintessentially human qualities.</w:t>
      </w:r>
    </w:p>
    <w:p>
      <w:pPr>
        <w:pStyle w:val="BodyText"/>
      </w:pPr>
      <w:r>
        <w:t xml:space="preserve">This is a particularly appropriate moment to explore this perspective, as the AI revolution has generated two competing narratives, both fundamentally flawed.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story—one where artificial intelligence enhances rather than replaces human capabilities.</w:t>
      </w:r>
    </w:p>
    <w:p>
      <w:pPr>
        <w:pStyle w:val="BodyText"/>
      </w:pPr>
      <w:r>
        <w:t xml:space="preserve">In our view, AI functions best as a force multiplier. Throughout history, humanity has developed many such force multipliers—from the wheel to the printing press to the computer—all of which have enhanced human productivity and contributed to societal wealth. AI represents perhaps the most powerful force multiplier yet developed, with the potential to dramatically boost productivity and raise living standards.</w:t>
      </w:r>
    </w:p>
    <w:p>
      <w:pPr>
        <w:pStyle w:val="BodyText"/>
      </w:pPr>
      <w:r>
        <w:t xml:space="preserve">This is not to say the transition will be painless. Many jobs will disappear or transform dramatically, and significant numbers of people will need to retrain for new roles. But this pattern of creative destruction has been a constant feature of technological progress. The industrial revolution replaced manual labor with machines; the digital revolution automated clerical tasks; now the AI revolution will reshape knowledge work. Each wave of change brings disruption but ultimately creates new opportunities and greater prosperity.</w:t>
      </w:r>
    </w:p>
    <w:p>
      <w:pPr>
        <w:pStyle w:val="BodyText"/>
      </w:pPr>
      <w:r>
        <w:t xml:space="preserve">Drawing on our combined experience in finance and technology, we’ve observed a consistent pattern across industries: the most successful AI applications are those that augment human judgment rather than attempt to replace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Previous technological revolutions follow similar trajectories. Consider the introduction of ATMs in banking. Many predicted the extinction of human bank tellers. Yet something unexpected happened: while fewer tellers were needed per branch, banks opened more branches, and the total number of tellers actually increased. The nature of their work evolved from routine transactions to more complex customer service and relationship management.</w:t>
      </w:r>
    </w:p>
    <w:p>
      <w:pPr>
        <w:pStyle w:val="BodyText"/>
      </w:pPr>
      <w:r>
        <w:t xml:space="preserve">The same pattern emerged with computer-aided design tools in architecture. Rather than replacing architects, these tools enhanced their creative capabilities and ultimately enabled firms to hire more architects to pursue more ambitious projects.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Throughout this book, we challenge both the fear-mongering and the hype surrounding AI, presenting instead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p>
    <w:p>
      <w:pPr>
        <w:pStyle w:val="BodyText"/>
      </w:pPr>
      <w:r>
        <w:t xml:space="preserve">For business leaders, we offer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distinction—and its implications for business strategy, investment decisions, and policy choices—will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37"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3"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3"/>
    <w:bookmarkStart w:id="24"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Consider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24"/>
    <w:bookmarkStart w:id="25"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25"/>
    <w:bookmarkStart w:id="29"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27" name="Picture"/>
            <a:graphic>
              <a:graphicData uri="http://schemas.openxmlformats.org/drawingml/2006/picture">
                <pic:pic>
                  <pic:nvPicPr>
                    <pic:cNvPr descr="_resources/images/Ch02-images/OpenAITrainingDataNYTimesChart.png" id="28" name="Picture"/>
                    <pic:cNvPicPr>
                      <a:picLocks noChangeArrowheads="1" noChangeAspect="1"/>
                    </pic:cNvPicPr>
                  </pic:nvPicPr>
                  <pic:blipFill>
                    <a:blip r:embed="rId2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29"/>
    <w:bookmarkStart w:id="30"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0"/>
    <w:bookmarkStart w:id="31"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1"/>
    <w:bookmarkStart w:id="32"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2"/>
    <w:bookmarkStart w:id="33"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3"/>
    <w:bookmarkStart w:id="34"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34"/>
    <w:bookmarkStart w:id="35"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35"/>
    <w:bookmarkStart w:id="36"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36"/>
    <w:bookmarkEnd w:id="37"/>
    <w:bookmarkStart w:id="70"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38"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p>
    <w:p>
      <w:pPr>
        <w:pStyle w:val="Compact"/>
        <w:numPr>
          <w:ilvl w:val="0"/>
          <w:numId w:val="1003"/>
        </w:numPr>
      </w:pPr>
      <w:r>
        <w:t xml:space="preserve">Financial analysts who knew how to build complex Excel models</w:t>
      </w:r>
    </w:p>
    <w:p>
      <w:pPr>
        <w:pStyle w:val="Compact"/>
        <w:numPr>
          <w:ilvl w:val="0"/>
          <w:numId w:val="1003"/>
        </w:numPr>
      </w:pPr>
      <w:r>
        <w:t xml:space="preserve">Software engineers who knew how to write code in specific languages</w:t>
      </w:r>
    </w:p>
    <w:p>
      <w:pPr>
        <w:pStyle w:val="Compact"/>
        <w:numPr>
          <w:ilvl w:val="0"/>
          <w:numId w:val="1003"/>
        </w:numPr>
      </w:pPr>
      <w:r>
        <w:t xml:space="preserve">Designers who knew how to use tools like Photoshop</w:t>
      </w:r>
    </w:p>
    <w:p>
      <w:pPr>
        <w:pStyle w:val="Compact"/>
        <w:numPr>
          <w:ilvl w:val="0"/>
          <w:numId w:val="1003"/>
        </w:numPr>
      </w:pPr>
      <w:r>
        <w:t xml:space="preserve">Writers who knew how to craft clear technical documentation</w:t>
      </w:r>
    </w:p>
    <w:p>
      <w:pPr>
        <w:pStyle w:val="Compact"/>
        <w:numPr>
          <w:ilvl w:val="0"/>
          <w:numId w:val="1003"/>
        </w:numPr>
      </w:pPr>
      <w:r>
        <w:t xml:space="preserve">Translators who knew how to convert text between languages</w:t>
      </w:r>
    </w:p>
    <w:p>
      <w:pPr>
        <w:pStyle w:val="FirstParagraph"/>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38"/>
    <w:bookmarkStart w:id="39"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p>
    <w:p>
      <w:pPr>
        <w:pStyle w:val="Compact"/>
        <w:numPr>
          <w:ilvl w:val="0"/>
          <w:numId w:val="1004"/>
        </w:numPr>
      </w:pPr>
      <w:r>
        <w:t xml:space="preserve">ChatGPT can write basic code in multiple languages</w:t>
      </w:r>
    </w:p>
    <w:p>
      <w:pPr>
        <w:pStyle w:val="Compact"/>
        <w:numPr>
          <w:ilvl w:val="0"/>
          <w:numId w:val="1004"/>
        </w:numPr>
      </w:pPr>
      <w:r>
        <w:t xml:space="preserve">Midjourney can generate sophisticated images</w:t>
      </w:r>
    </w:p>
    <w:p>
      <w:pPr>
        <w:pStyle w:val="Compact"/>
        <w:numPr>
          <w:ilvl w:val="0"/>
          <w:numId w:val="1004"/>
        </w:numPr>
      </w:pPr>
      <w:r>
        <w:t xml:space="preserve">Translation tools are approaching human-level quality</w:t>
      </w:r>
    </w:p>
    <w:p>
      <w:pPr>
        <w:pStyle w:val="Compact"/>
        <w:numPr>
          <w:ilvl w:val="0"/>
          <w:numId w:val="1004"/>
        </w:numPr>
      </w:pPr>
      <w:r>
        <w:t xml:space="preserve">AI assistants can create presentations and documentation</w:t>
      </w:r>
    </w:p>
    <w:p>
      <w:pPr>
        <w:pStyle w:val="FirstParagraph"/>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39"/>
    <w:bookmarkStart w:id="40"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p>
    <w:p>
      <w:pPr>
        <w:pStyle w:val="Compact"/>
        <w:numPr>
          <w:ilvl w:val="0"/>
          <w:numId w:val="1005"/>
        </w:numPr>
      </w:pPr>
      <w:r>
        <w:t xml:space="preserve">What problems are worth solving?</w:t>
      </w:r>
    </w:p>
    <w:p>
      <w:pPr>
        <w:pStyle w:val="Compact"/>
        <w:numPr>
          <w:ilvl w:val="0"/>
          <w:numId w:val="1005"/>
        </w:numPr>
      </w:pPr>
      <w:r>
        <w:t xml:space="preserve">What features should a product include?</w:t>
      </w:r>
    </w:p>
    <w:p>
      <w:pPr>
        <w:pStyle w:val="Compact"/>
        <w:numPr>
          <w:ilvl w:val="0"/>
          <w:numId w:val="1005"/>
        </w:numPr>
      </w:pPr>
      <w:r>
        <w:t xml:space="preserve">What markets should a company enter?</w:t>
      </w:r>
    </w:p>
    <w:p>
      <w:pPr>
        <w:pStyle w:val="Compact"/>
        <w:numPr>
          <w:ilvl w:val="0"/>
          <w:numId w:val="1005"/>
        </w:numPr>
      </w:pPr>
      <w:r>
        <w:t xml:space="preserve">What strategies will create sustainable advantages?</w:t>
      </w:r>
    </w:p>
    <w:p>
      <w:pPr>
        <w:pStyle w:val="Compact"/>
        <w:numPr>
          <w:ilvl w:val="0"/>
          <w:numId w:val="1005"/>
        </w:numPr>
      </w:pPr>
      <w:r>
        <w:t xml:space="preserve">What metrics matter most for success?</w:t>
      </w:r>
    </w:p>
    <w:p>
      <w:pPr>
        <w:pStyle w:val="FirstParagraph"/>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Humans can notice subtle patterns and draw insights across seemingly unrelated fields. A business leader might see parallels between consumer behavior in fashion and trends in enterprise software, leading to novel strategic insights. Current AI</w:t>
      </w:r>
      <w:r>
        <w:t xml:space="preserve"> </w:t>
      </w:r>
      <w:r>
        <w:t xml:space="preserve">systems, despite their broad training, struggle to make these creative connections in meaningful ways.</w:t>
      </w:r>
    </w:p>
    <w:p>
      <w:pPr>
        <w:pStyle w:val="BodyText"/>
      </w:pPr>
      <w:r>
        <w:rPr>
          <w:b/>
          <w:bCs/>
        </w:rPr>
        <w:t xml:space="preserve">Judgment Under Uncertainty</w:t>
      </w:r>
      <w:r>
        <w:t xml:space="preserve"> 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0"/>
    <w:bookmarkStart w:id="43"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1" w:name="X79298a040271b55967109bf3225ac97c780e38f"/>
    <w:p>
      <w:pPr>
        <w:pStyle w:val="Heading3"/>
      </w:pPr>
      <w:r>
        <w:t xml:space="preserve">3.4.1 ChatGPT and Chess: The What vs. How Divide</w:t>
      </w:r>
    </w:p>
    <w:p>
      <w:pPr>
        <w:pStyle w:val="FirstParagraph"/>
      </w:pPr>
      <w:r>
        <w:t xml:space="preserve">ChatGPT excels at the</w:t>
      </w:r>
      <w:r>
        <w:t xml:space="preserve"> </w:t>
      </w:r>
      <w:r>
        <w:t xml:space="preserve">“how”</w:t>
      </w:r>
      <w:r>
        <w:t xml:space="preserve"> </w:t>
      </w:r>
      <w:r>
        <w:t xml:space="preserve">aspects of chess. It can explain rules with precise clarity, describe tactical motifs like forks and pins, recommend standard opening principles, and even execute move sequences when prompted. This</w:t>
      </w:r>
      <w:r>
        <w:t xml:space="preserve"> </w:t>
      </w:r>
      <w:r>
        <w:t xml:space="preserve">“how”</w:t>
      </w:r>
      <w:r>
        <w:t xml:space="preserve"> </w:t>
      </w:r>
      <w:r>
        <w:t xml:space="preserve">capability stems from its training on countless chess books, articles, and game annotations, allowing it to mimic the instructional patterns of chess literature.</w:t>
      </w:r>
    </w:p>
    <w:p>
      <w:pPr>
        <w:pStyle w:val="BodyText"/>
      </w:pPr>
      <w:r>
        <w:t xml:space="preserve">Where ChatGPT fundamentally falls short is in the</w:t>
      </w:r>
      <w:r>
        <w:t xml:space="preserve"> </w:t>
      </w:r>
      <w:r>
        <w:t xml:space="preserve">“what”</w:t>
      </w:r>
      <w:r>
        <w:t xml:space="preserve"> </w:t>
      </w:r>
      <w:r>
        <w:t xml:space="preserve">domain of chess. It cannot determine what strategic approach makes sense in a complex position, what long-term plan to pursue, or what the most critical elements of a position are. Even more fundamentally, ChatGPT cannot decide what it means to</w:t>
      </w:r>
      <w:r>
        <w:t xml:space="preserve"> </w:t>
      </w:r>
      <w:r>
        <w:t xml:space="preserve">“play chess well”</w:t>
      </w:r>
      <w:r>
        <w:t xml:space="preserve"> </w:t>
      </w:r>
      <w:r>
        <w:t xml:space="preserve">in the first place.</w:t>
      </w:r>
    </w:p>
    <w:p>
      <w:pPr>
        <w:pStyle w:val="BodyText"/>
      </w:pPr>
      <w:r>
        <w:t xml:space="preserve">Consider a simple example: in a given position, should a player sacrifice material for an attack? This decision requires weighing potential attacking chances against concrete defensive resources - a judgment that integrates evaluation of multiple possible futures. ChatGPT can explain how sacrifices work in general, but cannot reliably determine what sacrifice (if any) is appropriate in a specific complex position.</w:t>
      </w:r>
    </w:p>
    <w:p>
      <w:pPr>
        <w:pStyle w:val="BodyText"/>
      </w:pPr>
      <w:r>
        <w:t xml:space="preserve">Even more telling is ChatGPT’s inability to set appropriate chess goals. A human must instruct the AI to</w:t>
      </w:r>
      <w:r>
        <w:t xml:space="preserve"> </w:t>
      </w:r>
      <w:r>
        <w:t xml:space="preserve">“find checkmate in two moves”</w:t>
      </w:r>
      <w:r>
        <w:t xml:space="preserve"> </w:t>
      </w:r>
      <w:r>
        <w:t xml:space="preserve">or</w:t>
      </w:r>
      <w:r>
        <w:t xml:space="preserve"> </w:t>
      </w:r>
      <w:r>
        <w:t xml:space="preserve">“evaluate this position”</w:t>
      </w:r>
      <w:r>
        <w:t xml:space="preserve"> </w:t>
      </w:r>
      <w:r>
        <w:t xml:space="preserve">or</w:t>
      </w:r>
      <w:r>
        <w:t xml:space="preserve"> </w:t>
      </w:r>
      <w:r>
        <w:t xml:space="preserve">“recommend an opening for a beginner.”</w:t>
      </w:r>
      <w:r>
        <w:t xml:space="preserve"> </w:t>
      </w:r>
      <w:r>
        <w:t xml:space="preserve">The AI cannot independently determine what chess problems are worth solving or what chess knowledge would benefit a particular player. It lacks the purposeful orientation that human players naturally bring to the game.</w:t>
      </w:r>
    </w:p>
    <w:p>
      <w:pPr>
        <w:pStyle w:val="BodyText"/>
      </w:pPr>
      <w:r>
        <w:t xml:space="preserve">This mirrors the broader pattern we’ve observed across domains. AI systems like ChatGPT handle the mechanics - the</w:t>
      </w:r>
      <w:r>
        <w:t xml:space="preserve"> </w:t>
      </w:r>
      <w:r>
        <w:t xml:space="preserve">“how”</w:t>
      </w:r>
      <w:r>
        <w:t xml:space="preserve"> </w:t>
      </w:r>
      <w:r>
        <w:t xml:space="preserve">- with impressive competence. But they remain tools awaiting human direction regarding</w:t>
      </w:r>
      <w:r>
        <w:t xml:space="preserve"> </w:t>
      </w:r>
      <w:r>
        <w:t xml:space="preserve">“what”</w:t>
      </w:r>
      <w:r>
        <w:t xml:space="preserve"> </w:t>
      </w:r>
      <w:r>
        <w:t xml:space="preserve">goals to pursue,</w:t>
      </w:r>
      <w:r>
        <w:t xml:space="preserve"> </w:t>
      </w:r>
      <w:r>
        <w:t xml:space="preserve">“what”</w:t>
      </w:r>
      <w:r>
        <w:t xml:space="preserve"> </w:t>
      </w:r>
      <w:r>
        <w:t xml:space="preserve">problems need solving, and</w:t>
      </w:r>
      <w:r>
        <w:t xml:space="preserve"> </w:t>
      </w:r>
      <w:r>
        <w:t xml:space="preserve">“what”</w:t>
      </w:r>
      <w:r>
        <w:t xml:space="preserve"> </w:t>
      </w:r>
      <w:r>
        <w:t xml:space="preserve">considerations matter most in any given context.</w:t>
      </w:r>
    </w:p>
    <w:p>
      <w:pPr>
        <w:pStyle w:val="BodyText"/>
      </w:pPr>
      <w:r>
        <w:t xml:space="preserve">For chess learners, this creates an interesting dynamic. ChatGPT can serve as an always-available resource for understanding</w:t>
      </w:r>
      <w:r>
        <w:t xml:space="preserve"> </w:t>
      </w:r>
      <w:r>
        <w:t xml:space="preserve">“how”</w:t>
      </w:r>
      <w:r>
        <w:t xml:space="preserve"> </w:t>
      </w:r>
      <w:r>
        <w:t xml:space="preserve">chess pieces move,</w:t>
      </w:r>
      <w:r>
        <w:t xml:space="preserve"> </w:t>
      </w:r>
      <w:r>
        <w:t xml:space="preserve">“how”</w:t>
      </w:r>
      <w:r>
        <w:t xml:space="preserve"> </w:t>
      </w:r>
      <w:r>
        <w:t xml:space="preserve">to execute basic tactics, and</w:t>
      </w:r>
      <w:r>
        <w:t xml:space="preserve"> </w:t>
      </w:r>
      <w:r>
        <w:t xml:space="preserve">“how”</w:t>
      </w:r>
      <w:r>
        <w:t xml:space="preserve"> </w:t>
      </w:r>
      <w:r>
        <w:t xml:space="preserve">traditional openings proceed. But determining</w:t>
      </w:r>
      <w:r>
        <w:t xml:space="preserve"> </w:t>
      </w:r>
      <w:r>
        <w:t xml:space="preserve">“what”</w:t>
      </w:r>
      <w:r>
        <w:t xml:space="preserve"> </w:t>
      </w:r>
      <w:r>
        <w:t xml:space="preserve">to study,</w:t>
      </w:r>
      <w:r>
        <w:t xml:space="preserve"> </w:t>
      </w:r>
      <w:r>
        <w:t xml:space="preserve">“what”</w:t>
      </w:r>
      <w:r>
        <w:t xml:space="preserve"> </w:t>
      </w:r>
      <w:r>
        <w:t xml:space="preserve">skills to prioritize, and</w:t>
      </w:r>
      <w:r>
        <w:t xml:space="preserve"> </w:t>
      </w:r>
      <w:r>
        <w:t xml:space="preserve">“what”</w:t>
      </w:r>
      <w:r>
        <w:t xml:space="preserve"> </w:t>
      </w:r>
      <w:r>
        <w:t xml:space="preserve">strategic approaches align with one’s strengths - these remain distinctly human judgments that no current AI can meaningfully address.</w:t>
      </w:r>
    </w:p>
    <w:p>
      <w:pPr>
        <w:pStyle w:val="BodyText"/>
      </w:pPr>
      <w:r>
        <w:t xml:space="preserve">The limitations become even more apparent in competitive contexts. Strong human players know that chess is not merely about following rules and recognizing patterns - it’s about making judgments under uncertainty, having a coherent vision of how the game should develop, and understanding which factors deserve attention in ambiguous positions. These</w:t>
      </w:r>
      <w:r>
        <w:t xml:space="preserve"> </w:t>
      </w:r>
      <w:r>
        <w:t xml:space="preserve">“what”</w:t>
      </w:r>
      <w:r>
        <w:t xml:space="preserve"> </w:t>
      </w:r>
      <w:r>
        <w:t xml:space="preserve">decisions remain beyond ChatGPT’s capabilities, even as it continues to improve at describing</w:t>
      </w:r>
      <w:r>
        <w:t xml:space="preserve"> </w:t>
      </w:r>
      <w:r>
        <w:t xml:space="preserve">“how”</w:t>
      </w:r>
      <w:r>
        <w:t xml:space="preserve"> </w:t>
      </w:r>
      <w:r>
        <w:t xml:space="preserve">chess concepts work in isolation.</w:t>
      </w:r>
    </w:p>
    <w:p>
      <w:pPr>
        <w:pStyle w:val="BodyText"/>
      </w:pPr>
      <w:r>
        <w:t xml:space="preserve">As AI capabilities advance, this fundamental divide persists. The most valuable human contribution isn’t executing the mechanical aspects of chess, but rather making the judgment calls about what matters, what deserves attention, and what goals are worth pursuing in the first place.</w:t>
      </w:r>
    </w:p>
    <w:bookmarkEnd w:id="41"/>
    <w:bookmarkStart w:id="42" w:name="book-writing-when-bulldozers-move-words"/>
    <w:p>
      <w:pPr>
        <w:pStyle w:val="Heading3"/>
      </w:pPr>
      <w:r>
        <w:t xml:space="preserve">3.4.2 Book-Writing: When Bulldozers Move Words</w:t>
      </w:r>
    </w:p>
    <w:p>
      <w:pPr>
        <w:pStyle w:val="FirstParagraph"/>
      </w:pPr>
      <w:r>
        <w:t xml:space="preserve">What’s the value of traditional books when ChatGPT can generate coherent answers to any question?</w:t>
      </w:r>
    </w:p>
    <w:p>
      <w:pPr>
        <w:pStyle w:val="BodyText"/>
      </w:pPr>
      <w:r>
        <w:t xml:space="preserve">A good analogy is with construction projects.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greatest rewards of authorship, as in many professional fields, will accrue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2"/>
    <w:bookmarkEnd w:id="43"/>
    <w:bookmarkStart w:id="47" w:name="more-examples"/>
    <w:p>
      <w:pPr>
        <w:pStyle w:val="Heading2"/>
      </w:pPr>
      <w:r>
        <w:t xml:space="preserve">3.5 More examples</w:t>
      </w:r>
    </w:p>
    <w:bookmarkStart w:id="44"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 AI working alone can be competent at creating an adequate building that meets the programmatic requirements laid out by its developers, but a truly great building will still require human input and humans’ ability to push the frontier of creativity.</w:t>
      </w:r>
    </w:p>
    <w:p>
      <w:pPr>
        <w:pStyle w:val="BodyText"/>
      </w:pPr>
      <w:r>
        <w:t xml:space="preserve">This suggests that software development is entering a new phase where success depends on effectively combining AI capabilities with human insight. Here again, the best outcomes will result from humans’ ability to leverage AI. The winners will be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44"/>
    <w:bookmarkStart w:id="45"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Automation did not eliminate the need for skilled manufacturing workers but changed their role, and AI will not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Analysts who can best understand business fundamentals while using AI will perform better than those who can merely process data faster.</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45"/>
    <w:bookmarkStart w:id="46"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Effective quality control requires understanding how products will be used in real-world conditions, and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In the same way that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Automation did not eliminate the need for skilled quality control technicians but changed their role, and AI will not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Quality control requires human oversight despite advanced inspection technology, and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Those who can understand patient needs while using AI to enhance this understanding will reap more rewards than those who can merely recall the most medical facts and procedures.</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46"/>
    <w:bookmarkEnd w:id="47"/>
    <w:bookmarkStart w:id="48"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p>
    <w:p>
      <w:pPr>
        <w:pStyle w:val="Compact"/>
        <w:numPr>
          <w:ilvl w:val="0"/>
          <w:numId w:val="1007"/>
        </w:numPr>
      </w:pPr>
      <w:r>
        <w:t xml:space="preserve">Companies that help humans make better</w:t>
      </w:r>
      <w:r>
        <w:t xml:space="preserve"> </w:t>
      </w:r>
      <w:r>
        <w:t xml:space="preserve">“what”</w:t>
      </w:r>
      <w:r>
        <w:t xml:space="preserve"> </w:t>
      </w:r>
      <w:r>
        <w:t xml:space="preserve">decisions</w:t>
      </w:r>
    </w:p>
    <w:p>
      <w:pPr>
        <w:pStyle w:val="Compact"/>
        <w:numPr>
          <w:ilvl w:val="0"/>
          <w:numId w:val="1007"/>
        </w:numPr>
      </w:pPr>
      <w:r>
        <w:t xml:space="preserve">Tools that augment human judgment rather than replace it</w:t>
      </w:r>
    </w:p>
    <w:p>
      <w:pPr>
        <w:pStyle w:val="Compact"/>
        <w:numPr>
          <w:ilvl w:val="0"/>
          <w:numId w:val="1007"/>
        </w:numPr>
      </w:pPr>
      <w:r>
        <w:t xml:space="preserve">Platforms that combine AI capabilities with human insight</w:t>
      </w:r>
    </w:p>
    <w:p>
      <w:pPr>
        <w:pStyle w:val="Compact"/>
        <w:numPr>
          <w:ilvl w:val="0"/>
          <w:numId w:val="1007"/>
        </w:numPr>
      </w:pPr>
      <w:r>
        <w:t xml:space="preserve">Businesses with strong human judgment at their core</w:t>
      </w:r>
    </w:p>
    <w:p>
      <w:pPr>
        <w:pStyle w:val="FirstParagraph"/>
      </w:pPr>
      <w:r>
        <w:rPr>
          <w:b/>
          <w:bCs/>
        </w:rPr>
        <w:t xml:space="preserve">Losers</w:t>
      </w:r>
      <w:r>
        <w:t xml:space="preserve">:</w:t>
      </w:r>
    </w:p>
    <w:p>
      <w:pPr>
        <w:pStyle w:val="Compact"/>
        <w:numPr>
          <w:ilvl w:val="0"/>
          <w:numId w:val="1008"/>
        </w:numPr>
      </w:pPr>
      <w:r>
        <w:t xml:space="preserve">Pure automation plays that don’t preserve human judgment</w:t>
      </w:r>
    </w:p>
    <w:p>
      <w:pPr>
        <w:pStyle w:val="Compact"/>
        <w:numPr>
          <w:ilvl w:val="0"/>
          <w:numId w:val="1008"/>
        </w:numPr>
      </w:pPr>
      <w:r>
        <w:t xml:space="preserve">Companies selling commoditized</w:t>
      </w:r>
      <w:r>
        <w:t xml:space="preserve"> </w:t>
      </w:r>
      <w:r>
        <w:t xml:space="preserve">“how”</w:t>
      </w:r>
      <w:r>
        <w:t xml:space="preserve"> </w:t>
      </w:r>
      <w:r>
        <w:t xml:space="preserve">skills</w:t>
      </w:r>
    </w:p>
    <w:p>
      <w:pPr>
        <w:pStyle w:val="Compact"/>
        <w:numPr>
          <w:ilvl w:val="0"/>
          <w:numId w:val="1008"/>
        </w:numPr>
      </w:pPr>
      <w:r>
        <w:t xml:space="preserve">Businesses that can’t articulate their human advantage</w:t>
      </w:r>
    </w:p>
    <w:bookmarkEnd w:id="48"/>
    <w:bookmarkStart w:id="49"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9"/>
        </w:numPr>
      </w:pPr>
      <w:r>
        <w:t xml:space="preserve">Flatter hierarchies as AI handles routine coordination</w:t>
      </w:r>
    </w:p>
    <w:p>
      <w:pPr>
        <w:pStyle w:val="Compact"/>
        <w:numPr>
          <w:ilvl w:val="0"/>
          <w:numId w:val="1009"/>
        </w:numPr>
      </w:pPr>
      <w:r>
        <w:t xml:space="preserve">Smaller, more senior teams focused on</w:t>
      </w:r>
      <w:r>
        <w:t xml:space="preserve"> </w:t>
      </w:r>
      <w:r>
        <w:t xml:space="preserve">“what”</w:t>
      </w:r>
      <w:r>
        <w:t xml:space="preserve"> </w:t>
      </w:r>
      <w:r>
        <w:t xml:space="preserve">decisions</w:t>
      </w:r>
    </w:p>
    <w:p>
      <w:pPr>
        <w:pStyle w:val="Compact"/>
        <w:numPr>
          <w:ilvl w:val="0"/>
          <w:numId w:val="1009"/>
        </w:numPr>
      </w:pPr>
      <w:r>
        <w:t xml:space="preserve">Greater emphasis on judgment and strategic thinking</w:t>
      </w:r>
    </w:p>
    <w:p>
      <w:pPr>
        <w:pStyle w:val="FirstParagraph"/>
      </w:pPr>
      <w:r>
        <w:rPr>
          <w:b/>
          <w:bCs/>
        </w:rPr>
        <w:t xml:space="preserve">Changed Skill Requirements</w:t>
      </w:r>
    </w:p>
    <w:p>
      <w:pPr>
        <w:pStyle w:val="Compact"/>
        <w:numPr>
          <w:ilvl w:val="0"/>
          <w:numId w:val="1010"/>
        </w:numPr>
      </w:pPr>
      <w:r>
        <w:t xml:space="preserve">Less focus on technical tool proficiency</w:t>
      </w:r>
    </w:p>
    <w:p>
      <w:pPr>
        <w:pStyle w:val="Compact"/>
        <w:numPr>
          <w:ilvl w:val="0"/>
          <w:numId w:val="1010"/>
        </w:numPr>
      </w:pPr>
      <w:r>
        <w:t xml:space="preserve">More emphasis on strategic thinking and judgment</w:t>
      </w:r>
    </w:p>
    <w:p>
      <w:pPr>
        <w:pStyle w:val="Compact"/>
        <w:numPr>
          <w:ilvl w:val="0"/>
          <w:numId w:val="1010"/>
        </w:numPr>
      </w:pPr>
      <w:r>
        <w:t xml:space="preserve">Greater value placed on cross-domain knowledge</w:t>
      </w:r>
    </w:p>
    <w:p>
      <w:pPr>
        <w:pStyle w:val="FirstParagraph"/>
      </w:pPr>
      <w:r>
        <w:rPr>
          <w:b/>
          <w:bCs/>
        </w:rPr>
        <w:t xml:space="preserve">Modified Training Approaches</w:t>
      </w:r>
    </w:p>
    <w:p>
      <w:pPr>
        <w:pStyle w:val="Compact"/>
        <w:numPr>
          <w:ilvl w:val="0"/>
          <w:numId w:val="1011"/>
        </w:numPr>
      </w:pPr>
      <w:r>
        <w:t xml:space="preserve">Reduced time spent teaching technical</w:t>
      </w:r>
      <w:r>
        <w:t xml:space="preserve"> </w:t>
      </w:r>
      <w:r>
        <w:t xml:space="preserve">“how”</w:t>
      </w:r>
      <w:r>
        <w:t xml:space="preserve"> </w:t>
      </w:r>
      <w:r>
        <w:t xml:space="preserve">skills</w:t>
      </w:r>
    </w:p>
    <w:p>
      <w:pPr>
        <w:pStyle w:val="Compact"/>
        <w:numPr>
          <w:ilvl w:val="0"/>
          <w:numId w:val="1011"/>
        </w:numPr>
      </w:pPr>
      <w:r>
        <w:t xml:space="preserve">Increased focus on judgment development</w:t>
      </w:r>
    </w:p>
    <w:p>
      <w:pPr>
        <w:pStyle w:val="Compact"/>
        <w:numPr>
          <w:ilvl w:val="0"/>
          <w:numId w:val="1011"/>
        </w:numPr>
      </w:pPr>
      <w:r>
        <w:t xml:space="preserve">More emphasis on understanding human factors</w:t>
      </w:r>
    </w:p>
    <w:bookmarkEnd w:id="49"/>
    <w:bookmarkStart w:id="51"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12"/>
        </w:numPr>
      </w:pPr>
      <w:r>
        <w:t xml:space="preserve">Focus on developing judgment through varied experiences</w:t>
      </w:r>
    </w:p>
    <w:p>
      <w:pPr>
        <w:pStyle w:val="Compact"/>
        <w:numPr>
          <w:ilvl w:val="0"/>
          <w:numId w:val="1012"/>
        </w:numPr>
      </w:pPr>
      <w:r>
        <w:t xml:space="preserve">Build broad knowledge across multiple domains</w:t>
      </w:r>
    </w:p>
    <w:p>
      <w:pPr>
        <w:pStyle w:val="Compact"/>
        <w:numPr>
          <w:ilvl w:val="0"/>
          <w:numId w:val="1012"/>
        </w:numPr>
      </w:pPr>
      <w:r>
        <w:t xml:space="preserve">Practice making and learning from strategic decisions</w:t>
      </w:r>
    </w:p>
    <w:p>
      <w:pPr>
        <w:pStyle w:val="Compact"/>
        <w:numPr>
          <w:ilvl w:val="0"/>
          <w:numId w:val="1012"/>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3"/>
        </w:numPr>
      </w:pPr>
      <w:r>
        <w:t xml:space="preserve">Invest in tools that augment human judgment</w:t>
      </w:r>
    </w:p>
    <w:p>
      <w:pPr>
        <w:pStyle w:val="Compact"/>
        <w:numPr>
          <w:ilvl w:val="0"/>
          <w:numId w:val="1013"/>
        </w:numPr>
      </w:pPr>
      <w:r>
        <w:t xml:space="preserve">Develop processes that capture and share strategic insights - Create cultures that value and develop good judgment</w:t>
      </w:r>
    </w:p>
    <w:p>
      <w:pPr>
        <w:pStyle w:val="Compact"/>
        <w:numPr>
          <w:ilvl w:val="0"/>
          <w:numId w:val="1013"/>
        </w:numPr>
      </w:pPr>
      <w:r>
        <w:t xml:space="preserve">Build teams with diverse perspectives and experiences</w:t>
      </w:r>
    </w:p>
    <w:bookmarkStart w:id="50"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50"/>
    <w:bookmarkEnd w:id="51"/>
    <w:bookmarkStart w:id="57"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56" w:name="fig-what-how-matrix"/>
          <w:p>
            <w:pPr>
              <w:pStyle w:val="Compact"/>
              <w:jc w:val="center"/>
            </w:pPr>
            <w:r>
              <w:drawing>
                <wp:inline>
                  <wp:extent cx="5646420" cy="4940617"/>
                  <wp:effectExtent b="0" l="0" r="0" t="0"/>
                  <wp:docPr descr="" title="" id="53" name="Picture"/>
                  <a:graphic>
                    <a:graphicData uri="http://schemas.openxmlformats.org/drawingml/2006/picture">
                      <pic:pic>
                        <pic:nvPicPr>
                          <pic:cNvPr descr="_resources/images/Ch03-images/what-how-matrix.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646420" cy="49406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What-How Matrix</w:t>
            </w:r>
          </w:p>
          <w:bookmarkEnd w:id="56"/>
        </w:tc>
      </w:tr>
    </w:tbl>
    <w:bookmarkEnd w:id="57"/>
    <w:bookmarkStart w:id="58"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p>
      <w:pPr>
        <w:pStyle w:val="BodyText"/>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 </w:t>
      </w:r>
      <w:r>
        <w:rPr>
          <w:i/>
          <w:iCs/>
        </w:rPr>
        <w:t xml:space="preserve">what</w:t>
      </w:r>
      <w:r>
        <w:t xml:space="preserve"> needed to be done.</w:t>
      </w:r>
    </w:p>
    <w:p>
      <w:pPr>
        <w:pStyle w:val="BodyText"/>
      </w:pPr>
      <w:r>
        <w:t xml:space="preserve">In traditional organizational hierarchies, executives and managers typically decide </w:t>
      </w:r>
      <w:r>
        <w:rPr>
          <w:i/>
          <w:iCs/>
        </w:rPr>
        <w:t xml:space="preserve">what</w:t>
      </w:r>
      <w:r>
        <w:t xml:space="preserve"> initiatives to pursue, while specialized knowledge workers determine </w:t>
      </w:r>
      <w:r>
        <w:rPr>
          <w:i/>
          <w:iCs/>
        </w:rPr>
        <w:t xml:space="preserve">how</w:t>
      </w:r>
      <w:r>
        <w:t xml:space="preserve"> to execute them. This division has historically functioned efficiently because </w:t>
      </w:r>
      <w:r>
        <w:rPr>
          <w:i/>
          <w:iCs/>
        </w:rPr>
        <w:t xml:space="preserve">how</w:t>
      </w:r>
      <w:r>
        <w:t xml:space="preserve"> 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 </w:t>
      </w:r>
      <w:r>
        <w:rPr>
          <w:i/>
          <w:iCs/>
        </w:rPr>
        <w:t xml:space="preserve">how</w:t>
      </w:r>
      <w:r>
        <w:t xml:space="preserve">—the execution of well-defined tasks within established parameters.</w:t>
      </w:r>
    </w:p>
    <w:p>
      <w:pPr>
        <w:pStyle w:val="BodyText"/>
      </w:pPr>
      <w:r>
        <w:t xml:space="preserve">What these systems cannot do—and what remains uniquely human—is determine </w:t>
      </w:r>
      <w:r>
        <w:rPr>
          <w:i/>
          <w:iCs/>
        </w:rPr>
        <w:t xml:space="preserve">what</w:t>
      </w:r>
      <w:r>
        <w:t xml:space="preserve"> 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As noted already, the financial analyst traditionally created value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 </w:t>
      </w:r>
      <w:r>
        <w:rPr>
          <w:i/>
          <w:iCs/>
        </w:rPr>
        <w:t xml:space="preserve">how</w:t>
      </w:r>
      <w:r>
        <w:t xml:space="preserve">—becomes commoditized, while judgment about </w:t>
      </w:r>
      <w:r>
        <w:rPr>
          <w:i/>
          <w:iCs/>
        </w:rPr>
        <w:t xml:space="preserve">what</w:t>
      </w:r>
      <w:r>
        <w:t xml:space="preserve"> 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58"/>
    <w:bookmarkStart w:id="59" w:name="philosophical-dimensions-of-the-divide"/>
    <w:p>
      <w:pPr>
        <w:pStyle w:val="Heading2"/>
      </w:pPr>
      <w:r>
        <w:t xml:space="preserve">3.11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59"/>
    <w:bookmarkStart w:id="63" w:name="case-studies-the-divide-in-practice"/>
    <w:p>
      <w:pPr>
        <w:pStyle w:val="Heading2"/>
      </w:pPr>
      <w:r>
        <w:t xml:space="preserve">3.12 Case Studies: The Divide in Practice</w:t>
      </w:r>
    </w:p>
    <w:p>
      <w:pPr>
        <w:pStyle w:val="FirstParagraph"/>
      </w:pPr>
      <w:r>
        <w:t xml:space="preserve">To illustrate the what-how divide, let’s examine several domains where this transformation is particularly evident:</w:t>
      </w:r>
    </w:p>
    <w:bookmarkStart w:id="60" w:name="software-development"/>
    <w:p>
      <w:pPr>
        <w:pStyle w:val="Heading3"/>
      </w:pPr>
      <w:r>
        <w:t xml:space="preserve">3.12.1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60"/>
    <w:bookmarkStart w:id="61" w:name="content-creation"/>
    <w:p>
      <w:pPr>
        <w:pStyle w:val="Heading3"/>
      </w:pPr>
      <w:r>
        <w:t xml:space="preserve">3.12.2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61"/>
    <w:bookmarkStart w:id="62" w:name="healthcare"/>
    <w:p>
      <w:pPr>
        <w:pStyle w:val="Heading3"/>
      </w:pPr>
      <w:r>
        <w:t xml:space="preserve">3.12.3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62"/>
    <w:bookmarkEnd w:id="63"/>
    <w:bookmarkStart w:id="64" w:name="the-competitive-dynamics-of-the-divide"/>
    <w:p>
      <w:pPr>
        <w:pStyle w:val="Heading2"/>
      </w:pPr>
      <w:r>
        <w:t xml:space="preserve">3.13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4"/>
    <w:bookmarkStart w:id="65" w:name="organizational-implications"/>
    <w:p>
      <w:pPr>
        <w:pStyle w:val="Heading2"/>
      </w:pPr>
      <w:r>
        <w:t xml:space="preserve">3.14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65"/>
    <w:bookmarkStart w:id="66" w:name="investment-implications-1"/>
    <w:p>
      <w:pPr>
        <w:pStyle w:val="Heading2"/>
      </w:pPr>
      <w:r>
        <w:t xml:space="preserve">3.15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14"/>
        </w:numPr>
      </w:pPr>
      <w:r>
        <w:t xml:space="preserve">Develop tools that enhance human strategic thinking rather than merely automating implementation tasks 2. Create platforms that facilitate seamless collaboration between human judgment and AI execution 3. Build solutions that maintain appropriate human oversight while leveraging AI capabilities 4. 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66"/>
    <w:bookmarkStart w:id="67" w:name="the-evolution-of-knowledge-work"/>
    <w:p>
      <w:pPr>
        <w:pStyle w:val="Heading2"/>
      </w:pPr>
      <w:r>
        <w:t xml:space="preserve">3.16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67"/>
    <w:bookmarkStart w:id="68" w:name="integration-with-enhancement-thesis"/>
    <w:p>
      <w:pPr>
        <w:pStyle w:val="Heading2"/>
      </w:pPr>
      <w:r>
        <w:t xml:space="preserve">3.17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68"/>
    <w:bookmarkStart w:id="69" w:name="conclusion-navigating-the-transformation"/>
    <w:p>
      <w:pPr>
        <w:pStyle w:val="Heading2"/>
      </w:pPr>
      <w:r>
        <w:t xml:space="preserve">3.18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69"/>
    <w:bookmarkEnd w:id="70"/>
    <w:bookmarkStart w:id="71"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pPr>
        <w:pStyle w:val="BodyText"/>
      </w:pPr>
      <w:r>
        <w:t xml:space="preserve">The prevailing narrative of artificial intelligence 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is critical to our understanding of both human and artificial intelligence.</w:t>
      </w:r>
    </w:p>
    <w:p>
      <w:pPr>
        <w:pStyle w:val="BodyText"/>
      </w:pPr>
      <w:r>
        <w:rPr>
          <w:b/>
          <w:bCs/>
        </w:rPr>
        <w:t xml:space="preserve">Being-in-the-World: Heidegger’s Fundamental Insight</w:t>
      </w:r>
    </w:p>
    <w:p>
      <w:pPr>
        <w:pStyle w:val="BodyText"/>
      </w:pPr>
      <w:r>
        <w:t xml:space="preserve">Heidegger’s masterwork, </w:t>
      </w:r>
      <w:r>
        <w:rPr>
          <w:i/>
          <w:iCs/>
        </w:rPr>
        <w:t xml:space="preserve">Being and Time</w:t>
      </w:r>
      <w:r>
        <w:t xml:space="preserve"> (1927), represents a radical departure from the Cartesian tradition. Where Descartes begins with the isolated, thinking subject, Heidegger starts with what he calls </w:t>
      </w:r>
      <w:r>
        <w:rPr>
          <w:i/>
          <w:iCs/>
        </w:rPr>
        <w:t xml:space="preserve">Dasein</w:t>
      </w:r>
      <w:r>
        <w:t xml:space="preserve"> (literally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Consider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p>
      <w:pPr>
        <w:pStyle w:val="BodyText"/>
      </w:pPr>
      <w:r>
        <w:rPr>
          <w:b/>
          <w:bCs/>
        </w:rPr>
        <w:t xml:space="preserve">Implications for Artificial Intelligence</w:t>
      </w:r>
    </w:p>
    <w:p>
      <w:pPr>
        <w:pStyle w:val="BodyText"/>
      </w:pPr>
      <w:r>
        <w:t xml:space="preserve">This philosophical reframing has profound implications for artificial intelligence. Current AI systems—even sophisticated ones like large language models—operate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Consider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p>
      <w:pPr>
        <w:pStyle w:val="BodyText"/>
      </w:pPr>
      <w:r>
        <w:rPr>
          <w:b/>
          <w:bCs/>
        </w:rPr>
        <w:t xml:space="preserve">Temporality and Human Understanding</w:t>
      </w:r>
    </w:p>
    <w:p>
      <w:pPr>
        <w:pStyle w:val="BodyText"/>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p>
      <w:pPr>
        <w:pStyle w:val="BodyText"/>
      </w:pPr>
      <w:r>
        <w:rPr>
          <w:b/>
          <w:bCs/>
        </w:rPr>
        <w:t xml:space="preserve">The Social Dimension of Intelligence</w:t>
      </w:r>
    </w:p>
    <w:p>
      <w:pPr>
        <w:pStyle w:val="BodyText"/>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w:t>
      </w:r>
      <w:r>
        <w:t xml:space="preserve"> </w:t>
      </w:r>
      <w:r>
        <w:t xml:space="preserve">“reads the room”</w:t>
      </w:r>
      <w:r>
        <w:t xml:space="preserve"> </w:t>
      </w:r>
      <w:r>
        <w:t xml:space="preserve">during a crucial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p>
      <w:pPr>
        <w:pStyle w:val="BodyText"/>
      </w:pPr>
      <w:r>
        <w:rPr>
          <w:b/>
          <w:bCs/>
        </w:rPr>
        <w:t xml:space="preserve">The Case for Enhancement Rather Than Replacement</w:t>
      </w:r>
    </w:p>
    <w:p>
      <w:pPr>
        <w:pStyle w:val="BodyText"/>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Consider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p>
      <w:pPr>
        <w:pStyle w:val="BodyText"/>
      </w:pPr>
      <w:r>
        <w:rPr>
          <w:b/>
          <w:bCs/>
        </w:rPr>
        <w:t xml:space="preserve">The Myth of Artificial General Intelligence</w:t>
      </w:r>
    </w:p>
    <w:p>
      <w:pPr>
        <w:pStyle w:val="BodyText"/>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p>
      <w:pPr>
        <w:pStyle w:val="BodyText"/>
      </w:pPr>
      <w:r>
        <w:rPr>
          <w:b/>
          <w:bCs/>
        </w:rPr>
        <w:t xml:space="preserve">The Flow State and the What-How Divide</w:t>
      </w:r>
    </w:p>
    <w:p>
      <w:pPr>
        <w:pStyle w:val="BodyText"/>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p>
      <w:pPr>
        <w:pStyle w:val="BodyText"/>
      </w:pPr>
      <w:r>
        <w:rPr>
          <w:b/>
          <w:bCs/>
        </w:rPr>
        <w:t xml:space="preserve">Practical Implications</w:t>
      </w:r>
    </w:p>
    <w:p>
      <w:pPr>
        <w:pStyle w:val="BodyText"/>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p>
      <w:pPr>
        <w:pStyle w:val="BodyText"/>
      </w:pPr>
      <w:r>
        <w:rPr>
          <w:b/>
          <w:bCs/>
        </w:rPr>
        <w:t xml:space="preserve">The Bottom Line</w:t>
      </w:r>
    </w:p>
    <w:p>
      <w:pPr>
        <w:pStyle w:val="BodyText"/>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71"/>
    <w:bookmarkStart w:id="80"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72" w:name="the-uniqueness-of-human-judgment"/>
    <w:p>
      <w:pPr>
        <w:pStyle w:val="Heading2"/>
      </w:pPr>
      <w:r>
        <w:t xml:space="preserve">5.1 The Uniqueness of Human Judgment</w:t>
      </w:r>
    </w:p>
    <w:p>
      <w:pPr>
        <w:pStyle w:val="FirstParagraph"/>
      </w:pPr>
      <w:r>
        <w:t xml:space="preserve">Recall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As discussed in chapter four, 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72"/>
    <w:bookmarkStart w:id="73"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Large language models (LLMs)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73"/>
    <w:bookmarkStart w:id="74"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Both the 1998 collapse of Long Term Capital and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 Investment firms that were successful navigating the 1998 and 2008 crises recognized that human intervention was indispensable to handle unique situations. Yet it is those situations that differentiate an outstanding investor from one who is merely competent.</w:t>
      </w:r>
    </w:p>
    <w:p>
      <w:pPr>
        <w:pStyle w:val="BodyText"/>
      </w:pPr>
      <w:r>
        <w:t xml:space="preserve">Similar patterns emerge in technical implementation across industries.Think for example of the arduous development of fully autonomous vehicles, easily one of the most ambitious applications of artificial intelligence to real-world problems. Despite massive investments and impressive technical achievements, full autonomy remains elusive in complex, unpredictable environments. Today, autonomous vehicle can manage trips that are relatively easy and uneventful, say an orderly turn on a quiet road or an exit from a highway, but they still struggle and are accident-prone when an expected situation emerges, say if a pedestrian suddenly emerges in the car’s path.</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74"/>
    <w:bookmarkStart w:id="75"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In planning a pandemic response for example,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and that may appear opaque to a layperson.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constitutes the ultimate</w:t>
      </w:r>
      <w:r>
        <w:t xml:space="preserve"> </w:t>
      </w:r>
      <w:r>
        <w:t xml:space="preserve">“human edge”</w:t>
      </w:r>
      <w:r>
        <w:t xml:space="preserve"> </w:t>
      </w:r>
      <w:r>
        <w:t xml:space="preserve">and it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75"/>
    <w:bookmarkStart w:id="76"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 Simply put, AI can enhance, accelerate and facilitate a lot of work, but it cannot perform at the same standard of excellence of top human experts.</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76"/>
    <w:bookmarkStart w:id="77"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 In some fields, we could say that the human is great because he/she is imperfect, and not robotic.</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77"/>
    <w:bookmarkStart w:id="78"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15"/>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15"/>
        </w:numPr>
      </w:pPr>
      <w:r>
        <w:t xml:space="preserve">Enhancement approaches align with organizational preferences for incremental transformation rather than disruptive replacement, facilitating adoption and integration.</w:t>
      </w:r>
    </w:p>
    <w:p>
      <w:pPr>
        <w:numPr>
          <w:ilvl w:val="0"/>
          <w:numId w:val="1015"/>
        </w:numPr>
      </w:pPr>
      <w:r>
        <w:t xml:space="preserve">Enhancement frameworks leverage existing human expertise while improving efficiency, creating immediate value rather than requiring complete transformation of workflows.</w:t>
      </w:r>
    </w:p>
    <w:p>
      <w:pPr>
        <w:numPr>
          <w:ilvl w:val="0"/>
          <w:numId w:val="1015"/>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and from the addition of human inputs to these technologies in ways that yield greater results.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78"/>
    <w:bookmarkStart w:id="79"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 This is in fact the human advantage that cannot be replicated by AI, the ultimate human edge.</w:t>
      </w:r>
    </w:p>
    <w:bookmarkEnd w:id="79"/>
    <w:bookmarkEnd w:id="80"/>
    <w:bookmarkStart w:id="88"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These stories encapsulate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points—what we call the</w:t>
      </w:r>
      <w:r>
        <w:t xml:space="preserve"> </w:t>
      </w:r>
      <w:r>
        <w:t xml:space="preserve">“enhancement sweet spot.”</w:t>
      </w:r>
    </w:p>
    <w:bookmarkStart w:id="81"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what we call the</w:t>
      </w:r>
      <w:r>
        <w:t xml:space="preserve"> </w:t>
      </w:r>
      <w:r>
        <w:t xml:space="preserve">“enhancement zone.”</w:t>
      </w:r>
    </w:p>
    <w:p>
      <w:pPr>
        <w:pStyle w:val="BodyText"/>
      </w:pPr>
      <w:r>
        <w:t xml:space="preserve">A good illustration comes from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A similar dynamic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 Renaissance Technologies runs what are arguably the most advanced algorithmic quant funds in the world. But some of its funds struggled and lost money in 2020 because of extreme volatility during the first year of the pandemic. It is possible that greater human involvement would have limited or avoided these losses.</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81"/>
    <w:bookmarkStart w:id="83"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p>
    <w:p>
      <w:pPr>
        <w:numPr>
          <w:ilvl w:val="0"/>
          <w:numId w:val="1016"/>
        </w:numPr>
      </w:pPr>
      <w:r>
        <w:t xml:space="preserve">What decisions require contextual understanding that AI cannot replicate?</w:t>
      </w:r>
    </w:p>
    <w:p>
      <w:pPr>
        <w:numPr>
          <w:ilvl w:val="0"/>
          <w:numId w:val="1016"/>
        </w:numPr>
      </w:pPr>
      <w:r>
        <w:t xml:space="preserve">Where can AI’s pattern recognition complement human insight?</w:t>
      </w:r>
    </w:p>
    <w:p>
      <w:pPr>
        <w:numPr>
          <w:ilvl w:val="0"/>
          <w:numId w:val="1016"/>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82" w:name="fig-enhancement-framework"/>
          <w:p>
            <w:pPr>
              <w:jc w:val="center"/>
            </w:pPr>
            <w:pPr>
              <w:jc w:val="start"/>
              <w:spacing w:before="200"/>
              <w:pStyle w:val="ImageCaption"/>
            </w:pPr>
            <w:r>
              <w:t xml:space="preserve">Figure 6.1</w:t>
            </w:r>
          </w:p>
          <w:bookmarkEnd w:id="82"/>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83"/>
    <w:bookmarkStart w:id="84"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 Enhanced Risk Assessment</w:t>
      </w:r>
    </w:p>
    <w:p>
      <w:pPr>
        <w:pStyle w:val="BodyText"/>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p>
      <w:pPr>
        <w:pStyle w:val="BodyText"/>
      </w:pPr>
      <w:r>
        <w:rPr>
          <w:b/>
          <w:bCs/>
        </w:rPr>
        <w:t xml:space="preserve">Manufacturing and Transportation: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 Collaborative Design</w:t>
      </w:r>
    </w:p>
    <w:p>
      <w:pPr>
        <w:pStyle w:val="BodyText"/>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84"/>
    <w:bookmarkStart w:id="85"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See for example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85"/>
    <w:bookmarkStart w:id="86"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numPr>
          <w:ilvl w:val="0"/>
          <w:numId w:val="1017"/>
        </w:numPr>
      </w:pPr>
      <w:r>
        <w:t xml:space="preserve">Current performance metrics and pain points</w:t>
      </w:r>
    </w:p>
    <w:p>
      <w:pPr>
        <w:numPr>
          <w:ilvl w:val="0"/>
          <w:numId w:val="1017"/>
        </w:numPr>
      </w:pPr>
      <w:r>
        <w:t xml:space="preserve">The nature of human contribution (judgment, creativity, empathy, etc.)</w:t>
      </w:r>
    </w:p>
    <w:p>
      <w:pPr>
        <w:numPr>
          <w:ilvl w:val="0"/>
          <w:numId w:val="1017"/>
        </w:numPr>
      </w:pPr>
      <w:r>
        <w:t xml:space="preserve">Data availability and quality</w:t>
      </w:r>
    </w:p>
    <w:p>
      <w:pPr>
        <w:numPr>
          <w:ilvl w:val="0"/>
          <w:numId w:val="1017"/>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8"/>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8"/>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8"/>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numPr>
          <w:ilvl w:val="0"/>
          <w:numId w:val="1019"/>
        </w:numPr>
      </w:pPr>
      <w:r>
        <w:t xml:space="preserve">Define clear success metrics that capture both efficiency and effectiveness</w:t>
      </w:r>
    </w:p>
    <w:p>
      <w:pPr>
        <w:numPr>
          <w:ilvl w:val="0"/>
          <w:numId w:val="1019"/>
        </w:numPr>
      </w:pPr>
      <w:r>
        <w:t xml:space="preserve">Design for appropriate division of labor between human and AI</w:t>
      </w:r>
    </w:p>
    <w:p>
      <w:pPr>
        <w:numPr>
          <w:ilvl w:val="0"/>
          <w:numId w:val="1019"/>
        </w:numPr>
      </w:pPr>
      <w:r>
        <w:t xml:space="preserve">Establish feedback mechanisms to capture user experience and suggestions</w:t>
      </w:r>
    </w:p>
    <w:p>
      <w:pPr>
        <w:numPr>
          <w:ilvl w:val="0"/>
          <w:numId w:val="1019"/>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numPr>
          <w:ilvl w:val="0"/>
          <w:numId w:val="1020"/>
        </w:numPr>
      </w:pPr>
      <w:r>
        <w:t xml:space="preserve">Technical teams need skills in human-centered design, not just AI development</w:t>
      </w:r>
    </w:p>
    <w:p>
      <w:pPr>
        <w:numPr>
          <w:ilvl w:val="0"/>
          <w:numId w:val="1020"/>
        </w:numPr>
      </w:pPr>
      <w:r>
        <w:t xml:space="preserve">Domain experts need understanding of AI capabilities and limitations</w:t>
      </w:r>
    </w:p>
    <w:p>
      <w:pPr>
        <w:numPr>
          <w:ilvl w:val="0"/>
          <w:numId w:val="1020"/>
        </w:numPr>
      </w:pPr>
      <w:r>
        <w:t xml:space="preserve">Leadership needs frameworks for evaluating enhancement opportunities</w:t>
      </w:r>
    </w:p>
    <w:p>
      <w:pPr>
        <w:numPr>
          <w:ilvl w:val="0"/>
          <w:numId w:val="1020"/>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numPr>
          <w:ilvl w:val="0"/>
          <w:numId w:val="1021"/>
        </w:numPr>
      </w:pPr>
      <w:r>
        <w:t xml:space="preserve">Establish governance mechanisms to ensure consistent implementation while allowing for domain-specific adaptation</w:t>
      </w:r>
    </w:p>
    <w:p>
      <w:pPr>
        <w:numPr>
          <w:ilvl w:val="0"/>
          <w:numId w:val="1021"/>
        </w:numPr>
      </w:pPr>
      <w:r>
        <w:t xml:space="preserve">Build feedback loops to capture learning and identify improvement opportunities</w:t>
      </w:r>
    </w:p>
    <w:p>
      <w:pPr>
        <w:numPr>
          <w:ilvl w:val="0"/>
          <w:numId w:val="1021"/>
        </w:numPr>
      </w:pPr>
      <w:r>
        <w:t xml:space="preserve">Monitor for unintended consequences and adaptation needs</w:t>
      </w:r>
    </w:p>
    <w:p>
      <w:pPr>
        <w:numPr>
          <w:ilvl w:val="0"/>
          <w:numId w:val="1021"/>
        </w:numPr>
      </w:pPr>
      <w:r>
        <w:t xml:space="preserve">Continuously reassess the optimal division of labor as capabilities evolve</w:t>
      </w:r>
    </w:p>
    <w:bookmarkEnd w:id="86"/>
    <w:bookmarkStart w:id="87"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87"/>
    <w:bookmarkEnd w:id="88"/>
    <w:bookmarkStart w:id="99"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Recall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9"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have called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9"/>
    <w:bookmarkStart w:id="9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90"/>
    <w:bookmarkStart w:id="91"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AeroVironment’s implementation of AI in military applications is a telling case.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what we might call</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91"/>
    <w:bookmarkStart w:id="92"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 This approach gives too much weight to all the things that can be measured, and not enough attention to those that cannot be.</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92"/>
    <w:bookmarkStart w:id="93"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93"/>
    <w:bookmarkStart w:id="94"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94"/>
    <w:bookmarkStart w:id="95"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95"/>
    <w:bookmarkStart w:id="96"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Consider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96"/>
    <w:bookmarkStart w:id="97"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97"/>
    <w:bookmarkStart w:id="98"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98"/>
    <w:bookmarkEnd w:id="99"/>
    <w:bookmarkStart w:id="109"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We now have mentioned the Beethoven experiment several times because it is at the center of the theme in this book. An all-star team of musicologists, historians, and AI programmers attempted something unprecedented: completing Beethoven’s unfinished Tenth Symphony using artificial intelligence. By the reckoning of most experts, they ultimately failed to create a new version of the great composer’s work. From our perspective, this project offers valuable insights into both the capabilities and limitations of AI in creative work, while illuminating why human authenticity remains irreplaceable even as AI capabilities advance.</w:t>
      </w:r>
    </w:p>
    <w:bookmarkStart w:id="10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0"/>
    <w:bookmarkStart w:id="10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1"/>
    <w:bookmarkStart w:id="10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22"/>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22"/>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22"/>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2"/>
    <w:bookmarkStart w:id="10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3"/>
    <w:bookmarkStart w:id="10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4"/>
    <w:bookmarkStart w:id="10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5"/>
    <w:bookmarkEnd w:id="106"/>
    <w:bookmarkStart w:id="10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7"/>
    <w:bookmarkStart w:id="108"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8"/>
    <w:bookmarkEnd w:id="109"/>
    <w:bookmarkStart w:id="12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CaptionedFigure"/>
      </w:pPr>
      <w:r>
        <w:drawing>
          <wp:inline>
            <wp:extent cx="5943600" cy="3714750"/>
            <wp:effectExtent b="0" l="0" r="0" t="0"/>
            <wp:docPr descr="Total returns of SOXX vs S&amp;P 500, 2020-2025, showing semiconductor outperformance" title="" id="111" name="Picture"/>
            <a:graphic>
              <a:graphicData uri="http://schemas.openxmlformats.org/drawingml/2006/picture">
                <pic:pic>
                  <pic:nvPicPr>
                    <pic:cNvPr descr="_resources/images/Ch09-images/soxx-vs-sp500.svg" id="112" name="Picture"/>
                    <pic:cNvPicPr>
                      <a:picLocks noChangeArrowheads="1" noChangeAspect="1"/>
                    </pic:cNvPicPr>
                  </pic:nvPicPr>
                  <pic:blipFill>
                    <a:blip r:embed="rId113">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14"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14"/>
    <w:bookmarkStart w:id="115"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Consider how Bloomberg has evolved its financial terminal business.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15"/>
    <w:bookmarkStart w:id="120"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17" name="Picture"/>
            <a:graphic>
              <a:graphicData uri="http://schemas.openxmlformats.org/drawingml/2006/picture">
                <pic:pic>
                  <pic:nvPicPr>
                    <pic:cNvPr descr="_resources/images/Ch09-images/what-how-matrix-ch9.svg" id="118" name="Picture"/>
                    <pic:cNvPicPr>
                      <a:picLocks noChangeArrowheads="1" noChangeAspect="1"/>
                    </pic:cNvPicPr>
                  </pic:nvPicPr>
                  <pic:blipFill>
                    <a:blip r:embed="rId119">
                      <a:extLst>
                        <a:ext uri="{28A0092B-C50C-407E-A947-70E740481C1C}">
                          <a14:useLocalDpi xmlns:a14="http://schemas.microsoft.com/office/drawing/2010/main" val="0"/>
                        </a:ext>
                        <a:ext uri="{96DAC541-7B7A-43D3-8B79-37D633B846F1}">
                          <asvg:svgBlip xmlns:asvg="http://schemas.microsoft.com/office/drawing/2016/SVG/main" r:embed="rId116"/>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20"/>
    <w:bookmarkStart w:id="125"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22" name="Picture"/>
            <a:graphic>
              <a:graphicData uri="http://schemas.openxmlformats.org/drawingml/2006/picture">
                <pic:pic>
                  <pic:nvPicPr>
                    <pic:cNvPr descr="_resources/images/Ch09-images/performance-chart.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25"/>
    <w:bookmarkStart w:id="126"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26"/>
    <w:bookmarkStart w:id="127"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27"/>
    <w:bookmarkEnd w:id="128"/>
    <w:bookmarkStart w:id="137"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across industries. As we look toward the future, the critical question isn’t whether AI will automate jobs away, but how we can build systems that amplify human judgment while preserving human agency. This final chapter outlines concrete steps for business leaders, policymakers, and individuals to ensure AI development remains human-centric.</w:t>
      </w:r>
    </w:p>
    <w:bookmarkStart w:id="129"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29"/>
    <w:bookmarkStart w:id="130"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what we call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 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30"/>
    <w:bookmarkStart w:id="131"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 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element 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31"/>
    <w:bookmarkStart w:id="132" w:name="educational-transformation"/>
    <w:p>
      <w:pPr>
        <w:pStyle w:val="Heading2"/>
      </w:pPr>
      <w:r>
        <w:t xml:space="preserve">10.4 Educational Transformation</w:t>
      </w:r>
    </w:p>
    <w:p>
      <w:pPr>
        <w:pStyle w:val="FirstParagraph"/>
      </w:pPr>
      <w:r>
        <w:t xml:space="preserve">The shift toward managerial thinking demands fundamental changes in education 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 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32"/>
    <w:bookmarkStart w:id="133"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 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 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33"/>
    <w:bookmarkStart w:id="134"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34"/>
    <w:bookmarkStart w:id="135"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 what we’ve called</w:t>
      </w:r>
      <w:r>
        <w:t xml:space="preserve"> </w:t>
      </w:r>
      <w:r>
        <w:t xml:space="preserve">“human centrality”</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 In an age where technical execution increasingly becomes commoditized through AI, human judgment about strategic direction becomes the primary differentiator between organizations.</w:t>
      </w:r>
    </w:p>
    <w:bookmarkEnd w:id="135"/>
    <w:bookmarkStart w:id="136"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36"/>
    <w:bookmarkEnd w:id="137"/>
    <w:bookmarkStart w:id="148" w:name="summary"/>
    <w:p>
      <w:pPr>
        <w:pStyle w:val="Heading1"/>
      </w:pPr>
      <w:r>
        <w:t xml:space="preserve">Summary</w:t>
      </w:r>
    </w:p>
    <w:bookmarkStart w:id="138"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23"/>
        </w:numPr>
      </w:pPr>
      <w:r>
        <w:t xml:space="preserve">Maintain human agency and judgment at the center of decision-making</w:t>
      </w:r>
    </w:p>
    <w:p>
      <w:pPr>
        <w:pStyle w:val="Compact"/>
        <w:numPr>
          <w:ilvl w:val="0"/>
          <w:numId w:val="1023"/>
        </w:numPr>
      </w:pPr>
      <w:r>
        <w:t xml:space="preserve">Design AI systems that complement rather than replace human capabilities</w:t>
      </w:r>
    </w:p>
    <w:p>
      <w:pPr>
        <w:pStyle w:val="Compact"/>
        <w:numPr>
          <w:ilvl w:val="0"/>
          <w:numId w:val="1023"/>
        </w:numPr>
      </w:pPr>
      <w:r>
        <w:t xml:space="preserve">Focus on transparency and explainability in AI systems</w:t>
      </w:r>
    </w:p>
    <w:p>
      <w:pPr>
        <w:pStyle w:val="Compact"/>
        <w:numPr>
          <w:ilvl w:val="0"/>
          <w:numId w:val="1023"/>
        </w:numPr>
      </w:pPr>
      <w:r>
        <w:t xml:space="preserve">Prioritize human-AI collaboration over full automation</w:t>
      </w:r>
    </w:p>
    <w:p>
      <w:pPr>
        <w:pStyle w:val="Compact"/>
        <w:numPr>
          <w:ilvl w:val="0"/>
          <w:numId w:val="1023"/>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38"/>
    <w:bookmarkStart w:id="147" w:name="author-dialog"/>
    <w:p>
      <w:pPr>
        <w:pStyle w:val="Heading2"/>
      </w:pPr>
      <w:r>
        <w:t xml:space="preserve">Author Dialog</w:t>
      </w:r>
    </w:p>
    <w:bookmarkStart w:id="139"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39"/>
    <w:bookmarkStart w:id="140"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40"/>
    <w:bookmarkStart w:id="141"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41"/>
    <w:bookmarkStart w:id="142"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42"/>
    <w:bookmarkStart w:id="143"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24"/>
        </w:numPr>
      </w:pPr>
      <w:r>
        <w:t xml:space="preserve">Maintain human agency and judgment at the center of decision-making</w:t>
      </w:r>
    </w:p>
    <w:p>
      <w:pPr>
        <w:pStyle w:val="Compact"/>
        <w:numPr>
          <w:ilvl w:val="0"/>
          <w:numId w:val="1024"/>
        </w:numPr>
      </w:pPr>
      <w:r>
        <w:t xml:space="preserve">Design AI systems that complement rather than replace human capabilities</w:t>
      </w:r>
    </w:p>
    <w:p>
      <w:pPr>
        <w:pStyle w:val="Compact"/>
        <w:numPr>
          <w:ilvl w:val="0"/>
          <w:numId w:val="1024"/>
        </w:numPr>
      </w:pPr>
      <w:r>
        <w:t xml:space="preserve">Focus on transparency and explainability in AI systems</w:t>
      </w:r>
    </w:p>
    <w:p>
      <w:pPr>
        <w:pStyle w:val="Compact"/>
        <w:numPr>
          <w:ilvl w:val="0"/>
          <w:numId w:val="1024"/>
        </w:numPr>
      </w:pPr>
      <w:r>
        <w:t xml:space="preserve">Prioritize human-AI collaboration over full automation</w:t>
      </w:r>
    </w:p>
    <w:p>
      <w:pPr>
        <w:pStyle w:val="Compact"/>
        <w:numPr>
          <w:ilvl w:val="0"/>
          <w:numId w:val="1024"/>
        </w:numPr>
      </w:pPr>
      <w:r>
        <w:t xml:space="preserve">Invest in human skill development alongside AI capabilities</w:t>
      </w:r>
    </w:p>
    <w:bookmarkEnd w:id="143"/>
    <w:bookmarkStart w:id="144"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25"/>
        </w:numPr>
      </w:pPr>
      <w:r>
        <w:t xml:space="preserve">Regulations requiring human oversight of critical AI systems</w:t>
      </w:r>
    </w:p>
    <w:p>
      <w:pPr>
        <w:pStyle w:val="Compact"/>
        <w:numPr>
          <w:ilvl w:val="0"/>
          <w:numId w:val="1025"/>
        </w:numPr>
      </w:pPr>
      <w:r>
        <w:t xml:space="preserve">Standards for AI transparency and explainability</w:t>
      </w:r>
    </w:p>
    <w:p>
      <w:pPr>
        <w:pStyle w:val="Compact"/>
        <w:numPr>
          <w:ilvl w:val="0"/>
          <w:numId w:val="1025"/>
        </w:numPr>
      </w:pPr>
      <w:r>
        <w:t xml:space="preserve">Investment in education and training programs that prepare workers for human-AI collaboration</w:t>
      </w:r>
    </w:p>
    <w:p>
      <w:pPr>
        <w:pStyle w:val="Compact"/>
        <w:numPr>
          <w:ilvl w:val="0"/>
          <w:numId w:val="1025"/>
        </w:numPr>
      </w:pPr>
      <w:r>
        <w:t xml:space="preserve">Incentives for companies developing enhancement-focused AI applications</w:t>
      </w:r>
    </w:p>
    <w:bookmarkEnd w:id="144"/>
    <w:bookmarkStart w:id="145"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45"/>
    <w:bookmarkStart w:id="146"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6"/>
    <w:bookmarkEnd w:id="147"/>
    <w:bookmarkEnd w:id="148"/>
    <w:bookmarkStart w:id="149"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49"/>
    <w:bookmarkStart w:id="341" w:name="references"/>
    <w:p>
      <w:pPr>
        <w:pStyle w:val="Heading1"/>
      </w:pPr>
      <w:r>
        <w:t xml:space="preserve">References</w:t>
      </w:r>
    </w:p>
    <w:bookmarkStart w:id="340" w:name="refs"/>
    <w:bookmarkStart w:id="151"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0">
        <w:r>
          <w:rPr>
            <w:rStyle w:val="Hyperlink"/>
          </w:rPr>
          <w:t xml:space="preserve">http://arxiv.org/abs/2404.14219</w:t>
        </w:r>
      </w:hyperlink>
      <w:r>
        <w:t xml:space="preserve">.</w:t>
      </w:r>
    </w:p>
    <w:bookmarkEnd w:id="151"/>
    <w:bookmarkStart w:id="153"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52">
        <w:r>
          <w:rPr>
            <w:rStyle w:val="Hyperlink"/>
          </w:rPr>
          <w:t xml:space="preserve">http://arxiv.org/abs/2403.04652</w:t>
        </w:r>
      </w:hyperlink>
      <w:r>
        <w:t xml:space="preserve">.</w:t>
      </w:r>
    </w:p>
    <w:bookmarkEnd w:id="153"/>
    <w:bookmarkStart w:id="155"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4">
        <w:r>
          <w:rPr>
            <w:rStyle w:val="Hyperlink"/>
          </w:rPr>
          <w:t xml:space="preserve">https://doi.org/10.1101/2023.09.11.556673</w:t>
        </w:r>
      </w:hyperlink>
      <w:r>
        <w:t xml:space="preserve">.</w:t>
      </w:r>
    </w:p>
    <w:bookmarkEnd w:id="155"/>
    <w:bookmarkStart w:id="157"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6">
        <w:r>
          <w:rPr>
            <w:rStyle w:val="Hyperlink"/>
          </w:rPr>
          <w:t xml:space="preserve">https://doi.org/10.1145/3442188.3445922</w:t>
        </w:r>
      </w:hyperlink>
      <w:r>
        <w:t xml:space="preserve">.</w:t>
      </w:r>
    </w:p>
    <w:bookmarkEnd w:id="157"/>
    <w:bookmarkStart w:id="159"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8">
        <w:r>
          <w:rPr>
            <w:rStyle w:val="Hyperlink"/>
          </w:rPr>
          <w:t xml:space="preserve">http://arxiv.org/abs/2309.12288</w:t>
        </w:r>
      </w:hyperlink>
      <w:r>
        <w:t xml:space="preserve">.</w:t>
      </w:r>
    </w:p>
    <w:bookmarkEnd w:id="159"/>
    <w:bookmarkStart w:id="161"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0">
        <w:r>
          <w:rPr>
            <w:rStyle w:val="Hyperlink"/>
          </w:rPr>
          <w:t xml:space="preserve">http://arxiv.org/abs/2312.16171</w:t>
        </w:r>
      </w:hyperlink>
      <w:r>
        <w:t xml:space="preserve">.</w:t>
      </w:r>
    </w:p>
    <w:bookmarkEnd w:id="161"/>
    <w:bookmarkStart w:id="163"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62">
        <w:r>
          <w:rPr>
            <w:rStyle w:val="Hyperlink"/>
          </w:rPr>
          <w:t xml:space="preserve">https://doi.org/10.1038/s41598-024-61221-0</w:t>
        </w:r>
      </w:hyperlink>
      <w:r>
        <w:t xml:space="preserve">.</w:t>
      </w:r>
    </w:p>
    <w:bookmarkEnd w:id="163"/>
    <w:bookmarkStart w:id="165"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4">
        <w:r>
          <w:rPr>
            <w:rStyle w:val="Hyperlink"/>
          </w:rPr>
          <w:t xml:space="preserve">https://doi.org/10.48550/ARXIV.2308.08708</w:t>
        </w:r>
      </w:hyperlink>
      <w:r>
        <w:t xml:space="preserve">.</w:t>
      </w:r>
    </w:p>
    <w:bookmarkEnd w:id="165"/>
    <w:bookmarkStart w:id="167"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66">
        <w:r>
          <w:rPr>
            <w:rStyle w:val="Hyperlink"/>
          </w:rPr>
          <w:t xml:space="preserve">http://arxiv.org/abs/2403.06634</w:t>
        </w:r>
      </w:hyperlink>
      <w:r>
        <w:t xml:space="preserve">.</w:t>
      </w:r>
    </w:p>
    <w:bookmarkEnd w:id="167"/>
    <w:bookmarkStart w:id="169"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68">
        <w:r>
          <w:rPr>
            <w:rStyle w:val="Hyperlink"/>
          </w:rPr>
          <w:t xml:space="preserve">https://doi.org/10.48550/ARXIV.2305.00118</w:t>
        </w:r>
      </w:hyperlink>
      <w:r>
        <w:t xml:space="preserve">.</w:t>
      </w:r>
    </w:p>
    <w:bookmarkEnd w:id="169"/>
    <w:bookmarkStart w:id="171"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0">
        <w:r>
          <w:rPr>
            <w:rStyle w:val="Hyperlink"/>
          </w:rPr>
          <w:t xml:space="preserve">http://arxiv.org/abs/2305.00118</w:t>
        </w:r>
      </w:hyperlink>
      <w:r>
        <w:t xml:space="preserve">.</w:t>
      </w:r>
    </w:p>
    <w:bookmarkEnd w:id="171"/>
    <w:bookmarkStart w:id="173"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72">
        <w:r>
          <w:rPr>
            <w:rStyle w:val="Hyperlink"/>
          </w:rPr>
          <w:t xml:space="preserve">https://doi.org/10.1038/s41591-018-0107-6</w:t>
        </w:r>
      </w:hyperlink>
      <w:r>
        <w:t xml:space="preserve">.</w:t>
      </w:r>
    </w:p>
    <w:bookmarkEnd w:id="173"/>
    <w:bookmarkStart w:id="175"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4">
        <w:r>
          <w:rPr>
            <w:rStyle w:val="Hyperlink"/>
          </w:rPr>
          <w:t xml:space="preserve">http://arxiv.org/abs/2309.03613</w:t>
        </w:r>
      </w:hyperlink>
      <w:r>
        <w:t xml:space="preserve">.</w:t>
      </w:r>
    </w:p>
    <w:bookmarkEnd w:id="175"/>
    <w:bookmarkStart w:id="177"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76">
        <w:r>
          <w:rPr>
            <w:rStyle w:val="Hyperlink"/>
          </w:rPr>
          <w:t xml:space="preserve">https://doi.org/10.48550/ARXIV.2104.08758</w:t>
        </w:r>
      </w:hyperlink>
      <w:r>
        <w:t xml:space="preserve">.</w:t>
      </w:r>
    </w:p>
    <w:bookmarkEnd w:id="177"/>
    <w:bookmarkStart w:id="179"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78">
        <w:r>
          <w:rPr>
            <w:rStyle w:val="Hyperlink"/>
          </w:rPr>
          <w:t xml:space="preserve">https://doi.org/10.1080/09515080701239510</w:t>
        </w:r>
      </w:hyperlink>
      <w:r>
        <w:t xml:space="preserve">.</w:t>
      </w:r>
    </w:p>
    <w:bookmarkEnd w:id="179"/>
    <w:bookmarkStart w:id="181"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0">
        <w:r>
          <w:rPr>
            <w:rStyle w:val="Hyperlink"/>
          </w:rPr>
          <w:t xml:space="preserve">https://epochai.org/data/large-scale-ai-models</w:t>
        </w:r>
      </w:hyperlink>
      <w:r>
        <w:t xml:space="preserve">.</w:t>
      </w:r>
    </w:p>
    <w:bookmarkEnd w:id="181"/>
    <w:bookmarkStart w:id="183"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82">
        <w:r>
          <w:rPr>
            <w:rStyle w:val="Hyperlink"/>
          </w:rPr>
          <w:t xml:space="preserve">http://arxiv.org/abs/2309.11690</w:t>
        </w:r>
      </w:hyperlink>
      <w:r>
        <w:t xml:space="preserve">.</w:t>
      </w:r>
    </w:p>
    <w:bookmarkEnd w:id="183"/>
    <w:bookmarkStart w:id="185"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4">
        <w:r>
          <w:rPr>
            <w:rStyle w:val="Hyperlink"/>
          </w:rPr>
          <w:t xml:space="preserve">https://doi.org/10.1038/s41591-018-0316-z</w:t>
        </w:r>
      </w:hyperlink>
      <w:r>
        <w:t xml:space="preserve">.</w:t>
      </w:r>
    </w:p>
    <w:bookmarkEnd w:id="185"/>
    <w:bookmarkStart w:id="187"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86">
        <w:r>
          <w:rPr>
            <w:rStyle w:val="Hyperlink"/>
          </w:rPr>
          <w:t xml:space="preserve">https://doi.org/10.48550/ARXIV.2305.08283</w:t>
        </w:r>
      </w:hyperlink>
      <w:r>
        <w:t xml:space="preserve">.</w:t>
      </w:r>
    </w:p>
    <w:bookmarkEnd w:id="187"/>
    <w:bookmarkStart w:id="189"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88">
        <w:r>
          <w:rPr>
            <w:rStyle w:val="Hyperlink"/>
          </w:rPr>
          <w:t xml:space="preserve">https://doi.org/10.1001/jamanetworkopen.2024.40969</w:t>
        </w:r>
      </w:hyperlink>
      <w:r>
        <w:t xml:space="preserve">.</w:t>
      </w:r>
    </w:p>
    <w:bookmarkEnd w:id="189"/>
    <w:bookmarkStart w:id="191"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0">
        <w:r>
          <w:rPr>
            <w:rStyle w:val="Hyperlink"/>
          </w:rPr>
          <w:t xml:space="preserve">https://doi.org/10.1126/science.adi1778</w:t>
        </w:r>
      </w:hyperlink>
      <w:r>
        <w:t xml:space="preserve">.</w:t>
      </w:r>
    </w:p>
    <w:bookmarkEnd w:id="191"/>
    <w:bookmarkStart w:id="193"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92">
        <w:r>
          <w:rPr>
            <w:rStyle w:val="Hyperlink"/>
          </w:rPr>
          <w:t xml:space="preserve">http://arxiv.org/abs/2308.12539</w:t>
        </w:r>
      </w:hyperlink>
      <w:r>
        <w:t xml:space="preserve">.</w:t>
      </w:r>
    </w:p>
    <w:bookmarkEnd w:id="193"/>
    <w:bookmarkStart w:id="195"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4">
        <w:r>
          <w:rPr>
            <w:rStyle w:val="Hyperlink"/>
          </w:rPr>
          <w:t xml:space="preserve">http://arxiv.org/abs/2404.03264</w:t>
        </w:r>
      </w:hyperlink>
      <w:r>
        <w:t xml:space="preserve">.</w:t>
      </w:r>
    </w:p>
    <w:bookmarkEnd w:id="195"/>
    <w:bookmarkStart w:id="197"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196">
        <w:r>
          <w:rPr>
            <w:rStyle w:val="Hyperlink"/>
          </w:rPr>
          <w:t xml:space="preserve">http://arxiv.org/abs/2302.09210</w:t>
        </w:r>
      </w:hyperlink>
      <w:r>
        <w:t xml:space="preserve">.</w:t>
      </w:r>
    </w:p>
    <w:bookmarkEnd w:id="197"/>
    <w:bookmarkStart w:id="199"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198">
        <w:r>
          <w:rPr>
            <w:rStyle w:val="Hyperlink"/>
          </w:rPr>
          <w:t xml:space="preserve">https://doi.org/10.1007/s10676-024-09775-5</w:t>
        </w:r>
      </w:hyperlink>
      <w:r>
        <w:t xml:space="preserve">.</w:t>
      </w:r>
    </w:p>
    <w:bookmarkEnd w:id="199"/>
    <w:bookmarkStart w:id="201"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0">
        <w:r>
          <w:rPr>
            <w:rStyle w:val="Hyperlink"/>
          </w:rPr>
          <w:t xml:space="preserve">http://arxiv.org/abs/2203.15556</w:t>
        </w:r>
      </w:hyperlink>
      <w:r>
        <w:t xml:space="preserve">.</w:t>
      </w:r>
    </w:p>
    <w:bookmarkEnd w:id="201"/>
    <w:bookmarkStart w:id="203"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02">
        <w:r>
          <w:rPr>
            <w:rStyle w:val="Hyperlink"/>
          </w:rPr>
          <w:t xml:space="preserve">https://doi.org/10.1093/jncics/pkad010</w:t>
        </w:r>
      </w:hyperlink>
      <w:r>
        <w:t xml:space="preserve">.</w:t>
      </w:r>
    </w:p>
    <w:bookmarkEnd w:id="203"/>
    <w:bookmarkStart w:id="205"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4">
        <w:r>
          <w:rPr>
            <w:rStyle w:val="Hyperlink"/>
          </w:rPr>
          <w:t xml:space="preserve">https://doi.org/10.2196/48966</w:t>
        </w:r>
      </w:hyperlink>
      <w:r>
        <w:t xml:space="preserve">.</w:t>
      </w:r>
    </w:p>
    <w:bookmarkEnd w:id="205"/>
    <w:bookmarkStart w:id="207"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06">
        <w:r>
          <w:rPr>
            <w:rStyle w:val="Hyperlink"/>
          </w:rPr>
          <w:t xml:space="preserve">https://doi.org/10.2139/ssrn.2325101</w:t>
        </w:r>
      </w:hyperlink>
      <w:r>
        <w:t xml:space="preserve">.</w:t>
      </w:r>
    </w:p>
    <w:bookmarkEnd w:id="207"/>
    <w:bookmarkStart w:id="209"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08">
        <w:r>
          <w:rPr>
            <w:rStyle w:val="Hyperlink"/>
          </w:rPr>
          <w:t xml:space="preserve">http://arxiv.org/abs/2404.18021</w:t>
        </w:r>
      </w:hyperlink>
      <w:r>
        <w:t xml:space="preserve">.</w:t>
      </w:r>
    </w:p>
    <w:bookmarkEnd w:id="209"/>
    <w:bookmarkStart w:id="211"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0">
        <w:r>
          <w:rPr>
            <w:rStyle w:val="Hyperlink"/>
          </w:rPr>
          <w:t xml:space="preserve">https://doi.org/10.1073/pnas.2304748120</w:t>
        </w:r>
      </w:hyperlink>
      <w:r>
        <w:t xml:space="preserve">.</w:t>
      </w:r>
    </w:p>
    <w:bookmarkEnd w:id="211"/>
    <w:bookmarkStart w:id="213"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12">
        <w:r>
          <w:rPr>
            <w:rStyle w:val="Hyperlink"/>
          </w:rPr>
          <w:t xml:space="preserve">https://doi.org/10.48550/ARXIV.2305.08596</w:t>
        </w:r>
      </w:hyperlink>
      <w:r>
        <w:t xml:space="preserve">.</w:t>
      </w:r>
    </w:p>
    <w:bookmarkEnd w:id="213"/>
    <w:bookmarkStart w:id="215"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4">
        <w:r>
          <w:rPr>
            <w:rStyle w:val="Hyperlink"/>
          </w:rPr>
          <w:t xml:space="preserve">http://arxiv.org/abs/2402.04845</w:t>
        </w:r>
      </w:hyperlink>
      <w:r>
        <w:t xml:space="preserve">.</w:t>
      </w:r>
    </w:p>
    <w:bookmarkEnd w:id="215"/>
    <w:bookmarkStart w:id="217"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16">
        <w:r>
          <w:rPr>
            <w:rStyle w:val="Hyperlink"/>
          </w:rPr>
          <w:t xml:space="preserve">https://doi.org/10.48550/ARXIV.2307.10169</w:t>
        </w:r>
      </w:hyperlink>
      <w:r>
        <w:t xml:space="preserve">.</w:t>
      </w:r>
    </w:p>
    <w:bookmarkEnd w:id="217"/>
    <w:bookmarkStart w:id="219"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18">
        <w:r>
          <w:rPr>
            <w:rStyle w:val="Hyperlink"/>
          </w:rPr>
          <w:t xml:space="preserve">http://arxiv.org/abs/2401.06416</w:t>
        </w:r>
      </w:hyperlink>
      <w:r>
        <w:t xml:space="preserve">.</w:t>
      </w:r>
    </w:p>
    <w:bookmarkEnd w:id="219"/>
    <w:bookmarkStart w:id="221"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0">
        <w:r>
          <w:rPr>
            <w:rStyle w:val="Hyperlink"/>
          </w:rPr>
          <w:t xml:space="preserve">https://doi.org/10.1001/jama.2023.8288</w:t>
        </w:r>
      </w:hyperlink>
      <w:r>
        <w:t xml:space="preserve">.</w:t>
      </w:r>
    </w:p>
    <w:bookmarkEnd w:id="221"/>
    <w:bookmarkStart w:id="223"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22">
        <w:r>
          <w:rPr>
            <w:rStyle w:val="Hyperlink"/>
          </w:rPr>
          <w:t xml:space="preserve">https://doi.org/10.1016/j.mcpdig.2023.08.005</w:t>
        </w:r>
      </w:hyperlink>
      <w:r>
        <w:t xml:space="preserve">.</w:t>
      </w:r>
    </w:p>
    <w:bookmarkEnd w:id="223"/>
    <w:bookmarkStart w:id="225"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4">
        <w:r>
          <w:rPr>
            <w:rStyle w:val="Hyperlink"/>
          </w:rPr>
          <w:t xml:space="preserve">https://doi.org/10.1038/s41571-020-0329-7</w:t>
        </w:r>
      </w:hyperlink>
      <w:r>
        <w:t xml:space="preserve">.</w:t>
      </w:r>
    </w:p>
    <w:bookmarkEnd w:id="225"/>
    <w:bookmarkStart w:id="227"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26">
        <w:r>
          <w:rPr>
            <w:rStyle w:val="Hyperlink"/>
          </w:rPr>
          <w:t xml:space="preserve">http://arxiv.org/abs/2401.06866</w:t>
        </w:r>
      </w:hyperlink>
      <w:r>
        <w:t xml:space="preserve">.</w:t>
      </w:r>
    </w:p>
    <w:bookmarkEnd w:id="227"/>
    <w:bookmarkStart w:id="229"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28">
        <w:r>
          <w:rPr>
            <w:rStyle w:val="Hyperlink"/>
          </w:rPr>
          <w:t xml:space="preserve">https://doi.org/10.1101/2022.12.19.22283643</w:t>
        </w:r>
      </w:hyperlink>
      <w:r>
        <w:t xml:space="preserve">.</w:t>
      </w:r>
    </w:p>
    <w:bookmarkEnd w:id="229"/>
    <w:bookmarkStart w:id="230"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0"/>
    <w:bookmarkStart w:id="231"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31"/>
    <w:bookmarkStart w:id="233"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32">
        <w:r>
          <w:rPr>
            <w:rStyle w:val="Hyperlink"/>
          </w:rPr>
          <w:t xml:space="preserve">https://doi.org/10.1016/j.oret.2016.12.009</w:t>
        </w:r>
      </w:hyperlink>
      <w:r>
        <w:t xml:space="preserve">.</w:t>
      </w:r>
    </w:p>
    <w:bookmarkEnd w:id="233"/>
    <w:bookmarkStart w:id="235"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4">
        <w:r>
          <w:rPr>
            <w:rStyle w:val="Hyperlink"/>
          </w:rPr>
          <w:t xml:space="preserve">https://doi.org/10.1056/NEJMsr2214184</w:t>
        </w:r>
      </w:hyperlink>
      <w:r>
        <w:t xml:space="preserve">.</w:t>
      </w:r>
    </w:p>
    <w:bookmarkEnd w:id="235"/>
    <w:bookmarkStart w:id="236"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36"/>
    <w:bookmarkStart w:id="238"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37">
        <w:r>
          <w:rPr>
            <w:rStyle w:val="Hyperlink"/>
          </w:rPr>
          <w:t xml:space="preserve">http://arxiv.org/abs/2210.12889</w:t>
        </w:r>
      </w:hyperlink>
      <w:r>
        <w:t xml:space="preserve">.</w:t>
      </w:r>
    </w:p>
    <w:bookmarkEnd w:id="238"/>
    <w:bookmarkStart w:id="240"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39">
        <w:r>
          <w:rPr>
            <w:rStyle w:val="Hyperlink"/>
          </w:rPr>
          <w:t xml:space="preserve">http://arxiv.org/abs/2308.04445</w:t>
        </w:r>
      </w:hyperlink>
      <w:r>
        <w:t xml:space="preserve">.</w:t>
      </w:r>
    </w:p>
    <w:bookmarkEnd w:id="240"/>
    <w:bookmarkStart w:id="242"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1">
        <w:r>
          <w:rPr>
            <w:rStyle w:val="Hyperlink"/>
          </w:rPr>
          <w:t xml:space="preserve">http://arxiv.org/abs/2403.20041</w:t>
        </w:r>
      </w:hyperlink>
      <w:r>
        <w:t xml:space="preserve">.</w:t>
      </w:r>
    </w:p>
    <w:bookmarkEnd w:id="242"/>
    <w:bookmarkStart w:id="244"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43">
        <w:r>
          <w:rPr>
            <w:rStyle w:val="Hyperlink"/>
          </w:rPr>
          <w:t xml:space="preserve">http://arxiv.org/abs/2304.09848</w:t>
        </w:r>
      </w:hyperlink>
      <w:r>
        <w:t xml:space="preserve">.</w:t>
      </w:r>
    </w:p>
    <w:bookmarkEnd w:id="244"/>
    <w:bookmarkStart w:id="246"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45">
        <w:r>
          <w:rPr>
            <w:rStyle w:val="Hyperlink"/>
          </w:rPr>
          <w:t xml:space="preserve">https://doi.org/10.48550/ARXIV.2308.03688</w:t>
        </w:r>
      </w:hyperlink>
      <w:r>
        <w:t xml:space="preserve">.</w:t>
      </w:r>
    </w:p>
    <w:bookmarkEnd w:id="246"/>
    <w:bookmarkStart w:id="248"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47">
        <w:r>
          <w:rPr>
            <w:rStyle w:val="Hyperlink"/>
          </w:rPr>
          <w:t xml:space="preserve">http://arxiv.org/abs/2402.14905</w:t>
        </w:r>
      </w:hyperlink>
      <w:r>
        <w:t xml:space="preserve">.</w:t>
      </w:r>
    </w:p>
    <w:bookmarkEnd w:id="248"/>
    <w:bookmarkStart w:id="250"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49">
        <w:r>
          <w:rPr>
            <w:rStyle w:val="Hyperlink"/>
          </w:rPr>
          <w:t xml:space="preserve">https://doi.org/10.48550/ARXIV.2209.07663</w:t>
        </w:r>
      </w:hyperlink>
      <w:r>
        <w:t xml:space="preserve">.</w:t>
      </w:r>
    </w:p>
    <w:bookmarkEnd w:id="250"/>
    <w:bookmarkStart w:id="252"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1">
        <w:r>
          <w:rPr>
            <w:rStyle w:val="Hyperlink"/>
          </w:rPr>
          <w:t xml:space="preserve">http://arxiv.org/abs/2408.06292</w:t>
        </w:r>
      </w:hyperlink>
      <w:r>
        <w:t xml:space="preserve">.</w:t>
      </w:r>
    </w:p>
    <w:bookmarkEnd w:id="252"/>
    <w:bookmarkStart w:id="254"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3">
        <w:r>
          <w:rPr>
            <w:rStyle w:val="Hyperlink"/>
          </w:rPr>
          <w:t xml:space="preserve">https://doi.org/10.1093/bib/bbac409</w:t>
        </w:r>
      </w:hyperlink>
      <w:r>
        <w:t xml:space="preserve">.</w:t>
      </w:r>
    </w:p>
    <w:bookmarkEnd w:id="254"/>
    <w:bookmarkStart w:id="256"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55">
        <w:r>
          <w:rPr>
            <w:rStyle w:val="Hyperlink"/>
          </w:rPr>
          <w:t xml:space="preserve">http://arxiv.org/abs/2408.11876</w:t>
        </w:r>
      </w:hyperlink>
      <w:r>
        <w:t xml:space="preserve">.</w:t>
      </w:r>
    </w:p>
    <w:bookmarkEnd w:id="256"/>
    <w:bookmarkStart w:id="258"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57">
        <w:r>
          <w:rPr>
            <w:rStyle w:val="Hyperlink"/>
          </w:rPr>
          <w:t xml:space="preserve">https://doi.org/10.48550/ARXIV.2306.14308</w:t>
        </w:r>
      </w:hyperlink>
      <w:r>
        <w:t xml:space="preserve">.</w:t>
      </w:r>
    </w:p>
    <w:bookmarkEnd w:id="258"/>
    <w:bookmarkStart w:id="260"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59">
        <w:r>
          <w:rPr>
            <w:rStyle w:val="Hyperlink"/>
          </w:rPr>
          <w:t xml:space="preserve">http://arxiv.org/abs/2301.06627</w:t>
        </w:r>
      </w:hyperlink>
      <w:r>
        <w:t xml:space="preserve">.</w:t>
      </w:r>
    </w:p>
    <w:bookmarkEnd w:id="260"/>
    <w:bookmarkStart w:id="262"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1">
        <w:r>
          <w:rPr>
            <w:rStyle w:val="Hyperlink"/>
          </w:rPr>
          <w:t xml:space="preserve">http://arxiv.org/abs/2309.02884</w:t>
        </w:r>
      </w:hyperlink>
      <w:r>
        <w:t xml:space="preserve">.</w:t>
      </w:r>
    </w:p>
    <w:bookmarkEnd w:id="262"/>
    <w:bookmarkStart w:id="264"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3">
        <w:r>
          <w:rPr>
            <w:rStyle w:val="Hyperlink"/>
          </w:rPr>
          <w:t xml:space="preserve">http://arxiv.org/abs/2312.00164</w:t>
        </w:r>
      </w:hyperlink>
      <w:r>
        <w:t xml:space="preserve">.</w:t>
      </w:r>
    </w:p>
    <w:bookmarkEnd w:id="264"/>
    <w:bookmarkStart w:id="266"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65">
        <w:r>
          <w:rPr>
            <w:rStyle w:val="Hyperlink"/>
          </w:rPr>
          <w:t xml:space="preserve">https://doi.org/10.2196/50638</w:t>
        </w:r>
      </w:hyperlink>
      <w:r>
        <w:t xml:space="preserve">.</w:t>
      </w:r>
    </w:p>
    <w:bookmarkEnd w:id="266"/>
    <w:bookmarkStart w:id="268"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67">
        <w:r>
          <w:rPr>
            <w:rStyle w:val="Hyperlink"/>
          </w:rPr>
          <w:t xml:space="preserve">https://doi.org/10.1038/s41746-023-00873-0</w:t>
        </w:r>
      </w:hyperlink>
      <w:r>
        <w:t xml:space="preserve">.</w:t>
      </w:r>
    </w:p>
    <w:bookmarkEnd w:id="268"/>
    <w:bookmarkStart w:id="270"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69">
        <w:r>
          <w:rPr>
            <w:rStyle w:val="Hyperlink"/>
          </w:rPr>
          <w:t xml:space="preserve">http://arxiv.org/abs/2401.03910</w:t>
        </w:r>
      </w:hyperlink>
      <w:r>
        <w:t xml:space="preserve">.</w:t>
      </w:r>
    </w:p>
    <w:bookmarkEnd w:id="270"/>
    <w:bookmarkStart w:id="271"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1"/>
    <w:bookmarkStart w:id="273"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2">
        <w:r>
          <w:rPr>
            <w:rStyle w:val="Hyperlink"/>
          </w:rPr>
          <w:t xml:space="preserve">https://doi.org/10.48550/ARXIV.2303.13375</w:t>
        </w:r>
      </w:hyperlink>
      <w:r>
        <w:t xml:space="preserve">.</w:t>
      </w:r>
    </w:p>
    <w:bookmarkEnd w:id="273"/>
    <w:bookmarkStart w:id="275"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4">
        <w:r>
          <w:rPr>
            <w:rStyle w:val="Hyperlink"/>
          </w:rPr>
          <w:t xml:space="preserve">https://doi.org/10.1038/s41586-023-06802-1</w:t>
        </w:r>
      </w:hyperlink>
      <w:r>
        <w:t xml:space="preserve">.</w:t>
      </w:r>
    </w:p>
    <w:bookmarkEnd w:id="275"/>
    <w:bookmarkStart w:id="277"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76">
        <w:r>
          <w:rPr>
            <w:rStyle w:val="Hyperlink"/>
          </w:rPr>
          <w:t xml:space="preserve">http://arxiv.org/abs/2310.17623</w:t>
        </w:r>
      </w:hyperlink>
      <w:r>
        <w:t xml:space="preserve">.</w:t>
      </w:r>
    </w:p>
    <w:bookmarkEnd w:id="277"/>
    <w:bookmarkStart w:id="279"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78">
        <w:r>
          <w:rPr>
            <w:rStyle w:val="Hyperlink"/>
          </w:rPr>
          <w:t xml:space="preserve">http://arxiv.org/abs/2403.17881</w:t>
        </w:r>
      </w:hyperlink>
      <w:r>
        <w:t xml:space="preserve">.</w:t>
      </w:r>
    </w:p>
    <w:bookmarkEnd w:id="279"/>
    <w:bookmarkStart w:id="281"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0">
        <w:r>
          <w:rPr>
            <w:rStyle w:val="Hyperlink"/>
          </w:rPr>
          <w:t xml:space="preserve">http://arxiv.org/abs/2309.08594</w:t>
        </w:r>
      </w:hyperlink>
      <w:r>
        <w:t xml:space="preserve">.</w:t>
      </w:r>
    </w:p>
    <w:bookmarkEnd w:id="281"/>
    <w:bookmarkStart w:id="283"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2">
        <w:r>
          <w:rPr>
            <w:rStyle w:val="Hyperlink"/>
          </w:rPr>
          <w:t xml:space="preserve">http://arxiv.org/abs/2402.13963</w:t>
        </w:r>
      </w:hyperlink>
      <w:r>
        <w:t xml:space="preserve">.</w:t>
      </w:r>
    </w:p>
    <w:bookmarkEnd w:id="283"/>
    <w:bookmarkStart w:id="285"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4">
        <w:r>
          <w:rPr>
            <w:rStyle w:val="Hyperlink"/>
          </w:rPr>
          <w:t xml:space="preserve">https://doi.org/10.1145/3531146.3533158</w:t>
        </w:r>
      </w:hyperlink>
      <w:r>
        <w:t xml:space="preserve">.</w:t>
      </w:r>
    </w:p>
    <w:bookmarkEnd w:id="285"/>
    <w:bookmarkStart w:id="287"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86">
        <w:r>
          <w:rPr>
            <w:rStyle w:val="Hyperlink"/>
          </w:rPr>
          <w:t xml:space="preserve">https://doi.org/10.2196/48659</w:t>
        </w:r>
      </w:hyperlink>
      <w:r>
        <w:t xml:space="preserve">.</w:t>
      </w:r>
    </w:p>
    <w:bookmarkEnd w:id="287"/>
    <w:bookmarkStart w:id="289"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88">
        <w:r>
          <w:rPr>
            <w:rStyle w:val="Hyperlink"/>
          </w:rPr>
          <w:t xml:space="preserve">https://doi.org/10.1038/s41586-023-06924-6</w:t>
        </w:r>
      </w:hyperlink>
      <w:r>
        <w:t xml:space="preserve">.</w:t>
      </w:r>
    </w:p>
    <w:bookmarkEnd w:id="289"/>
    <w:bookmarkStart w:id="291"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0">
        <w:r>
          <w:rPr>
            <w:rStyle w:val="Hyperlink"/>
          </w:rPr>
          <w:t xml:space="preserve">http://arxiv.org/abs/2402.16786</w:t>
        </w:r>
      </w:hyperlink>
      <w:r>
        <w:t xml:space="preserve">.</w:t>
      </w:r>
    </w:p>
    <w:bookmarkEnd w:id="291"/>
    <w:bookmarkStart w:id="293"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2">
        <w:r>
          <w:rPr>
            <w:rStyle w:val="Hyperlink"/>
          </w:rPr>
          <w:t xml:space="preserve">https://doi.org/10.3390/socsci12030148</w:t>
        </w:r>
      </w:hyperlink>
      <w:r>
        <w:t xml:space="preserve">.</w:t>
      </w:r>
    </w:p>
    <w:bookmarkEnd w:id="293"/>
    <w:bookmarkStart w:id="295"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4">
        <w:r>
          <w:rPr>
            <w:rStyle w:val="Hyperlink"/>
          </w:rPr>
          <w:t xml:space="preserve">http://arxiv.org/abs/2402.01789</w:t>
        </w:r>
      </w:hyperlink>
      <w:r>
        <w:t xml:space="preserve">.</w:t>
      </w:r>
    </w:p>
    <w:bookmarkEnd w:id="295"/>
    <w:bookmarkStart w:id="297"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96">
        <w:r>
          <w:rPr>
            <w:rStyle w:val="Hyperlink"/>
          </w:rPr>
          <w:t xml:space="preserve">http://arxiv.org/abs/2404.18416</w:t>
        </w:r>
      </w:hyperlink>
      <w:r>
        <w:t xml:space="preserve">.</w:t>
      </w:r>
    </w:p>
    <w:bookmarkEnd w:id="297"/>
    <w:bookmarkStart w:id="299"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298">
        <w:r>
          <w:rPr>
            <w:rStyle w:val="Hyperlink"/>
          </w:rPr>
          <w:t xml:space="preserve">http://arxiv.org/abs/2402.08797</w:t>
        </w:r>
      </w:hyperlink>
      <w:r>
        <w:t xml:space="preserve">.</w:t>
      </w:r>
    </w:p>
    <w:bookmarkEnd w:id="299"/>
    <w:bookmarkStart w:id="301"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0">
        <w:r>
          <w:rPr>
            <w:rStyle w:val="Hyperlink"/>
          </w:rPr>
          <w:t xml:space="preserve">http://arxiv.org/abs/2305.17493</w:t>
        </w:r>
      </w:hyperlink>
      <w:r>
        <w:t xml:space="preserve">.</w:t>
      </w:r>
    </w:p>
    <w:bookmarkEnd w:id="301"/>
    <w:bookmarkStart w:id="303"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2">
        <w:r>
          <w:rPr>
            <w:rStyle w:val="Hyperlink"/>
          </w:rPr>
          <w:t xml:space="preserve">https://doi.org/10.1038/s41586-023-06291-2</w:t>
        </w:r>
      </w:hyperlink>
      <w:r>
        <w:t xml:space="preserve">.</w:t>
      </w:r>
    </w:p>
    <w:bookmarkEnd w:id="303"/>
    <w:bookmarkStart w:id="305"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4">
        <w:r>
          <w:rPr>
            <w:rStyle w:val="Hyperlink"/>
          </w:rPr>
          <w:t xml:space="preserve">https://doi.org/10.1016/j.ajp.2023.103705</w:t>
        </w:r>
      </w:hyperlink>
      <w:r>
        <w:t xml:space="preserve">.</w:t>
      </w:r>
    </w:p>
    <w:bookmarkEnd w:id="305"/>
    <w:bookmarkStart w:id="307"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6">
        <w:r>
          <w:rPr>
            <w:rStyle w:val="Hyperlink"/>
          </w:rPr>
          <w:t xml:space="preserve">http://arxiv.org/abs/2407.09025</w:t>
        </w:r>
      </w:hyperlink>
      <w:r>
        <w:t xml:space="preserve">.</w:t>
      </w:r>
    </w:p>
    <w:bookmarkEnd w:id="307"/>
    <w:bookmarkStart w:id="309"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08">
        <w:r>
          <w:rPr>
            <w:rStyle w:val="Hyperlink"/>
          </w:rPr>
          <w:t xml:space="preserve">https://doi.org/10.48550/ARXIV.2401.05654</w:t>
        </w:r>
      </w:hyperlink>
      <w:r>
        <w:t xml:space="preserve">.</w:t>
      </w:r>
    </w:p>
    <w:bookmarkEnd w:id="309"/>
    <w:bookmarkStart w:id="311"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0">
        <w:r>
          <w:rPr>
            <w:rStyle w:val="Hyperlink"/>
          </w:rPr>
          <w:t xml:space="preserve">http://arxiv.org/abs/2404.04125</w:t>
        </w:r>
      </w:hyperlink>
      <w:r>
        <w:t xml:space="preserve">.</w:t>
      </w:r>
    </w:p>
    <w:bookmarkEnd w:id="311"/>
    <w:bookmarkStart w:id="313"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2">
        <w:r>
          <w:rPr>
            <w:rStyle w:val="Hyperlink"/>
          </w:rPr>
          <w:t xml:space="preserve">http://arxiv.org/abs/2211.04325</w:t>
        </w:r>
      </w:hyperlink>
      <w:r>
        <w:t xml:space="preserve">.</w:t>
      </w:r>
    </w:p>
    <w:bookmarkEnd w:id="313"/>
    <w:bookmarkStart w:id="315"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4">
        <w:r>
          <w:rPr>
            <w:rStyle w:val="Hyperlink"/>
          </w:rPr>
          <w:t xml:space="preserve">http://arxiv.org/abs/2309.11758</w:t>
        </w:r>
      </w:hyperlink>
      <w:r>
        <w:t xml:space="preserve">.</w:t>
      </w:r>
    </w:p>
    <w:bookmarkEnd w:id="315"/>
    <w:bookmarkStart w:id="317"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6">
        <w:r>
          <w:rPr>
            <w:rStyle w:val="Hyperlink"/>
          </w:rPr>
          <w:t xml:space="preserve">http://arxiv.org/abs/2201.11903</w:t>
        </w:r>
      </w:hyperlink>
      <w:r>
        <w:t xml:space="preserve">.</w:t>
      </w:r>
    </w:p>
    <w:bookmarkEnd w:id="317"/>
    <w:bookmarkStart w:id="319"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18">
        <w:r>
          <w:rPr>
            <w:rStyle w:val="Hyperlink"/>
          </w:rPr>
          <w:t xml:space="preserve">http://arxiv.org/abs/2403.18802</w:t>
        </w:r>
      </w:hyperlink>
      <w:r>
        <w:t xml:space="preserve">.</w:t>
      </w:r>
    </w:p>
    <w:bookmarkEnd w:id="319"/>
    <w:bookmarkStart w:id="321"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0">
        <w:r>
          <w:rPr>
            <w:rStyle w:val="Hyperlink"/>
          </w:rPr>
          <w:t xml:space="preserve">http://arxiv.org/abs/2403.09751</w:t>
        </w:r>
      </w:hyperlink>
      <w:r>
        <w:t xml:space="preserve">.</w:t>
      </w:r>
    </w:p>
    <w:bookmarkEnd w:id="321"/>
    <w:bookmarkStart w:id="323"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2">
        <w:r>
          <w:rPr>
            <w:rStyle w:val="Hyperlink"/>
          </w:rPr>
          <w:t xml:space="preserve">http://arxiv.org/abs/2402.10588</w:t>
        </w:r>
      </w:hyperlink>
      <w:r>
        <w:t xml:space="preserve">.</w:t>
      </w:r>
    </w:p>
    <w:bookmarkEnd w:id="323"/>
    <w:bookmarkStart w:id="325"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4">
        <w:r>
          <w:rPr>
            <w:rStyle w:val="Hyperlink"/>
          </w:rPr>
          <w:t xml:space="preserve">https://doi.org/10.1038/s41746-023-00879-8</w:t>
        </w:r>
      </w:hyperlink>
      <w:r>
        <w:t xml:space="preserve">.</w:t>
      </w:r>
    </w:p>
    <w:bookmarkEnd w:id="325"/>
    <w:bookmarkStart w:id="327"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26">
        <w:r>
          <w:rPr>
            <w:rStyle w:val="Hyperlink"/>
          </w:rPr>
          <w:t xml:space="preserve">https://doi.org/10.1177/17456916231201401</w:t>
        </w:r>
      </w:hyperlink>
      <w:r>
        <w:t xml:space="preserve">.</w:t>
      </w:r>
    </w:p>
    <w:bookmarkEnd w:id="327"/>
    <w:bookmarkStart w:id="329"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28">
        <w:r>
          <w:rPr>
            <w:rStyle w:val="Hyperlink"/>
          </w:rPr>
          <w:t xml:space="preserve">https://doi.org/10.1016/j.patter.2023.100802</w:t>
        </w:r>
      </w:hyperlink>
      <w:r>
        <w:t xml:space="preserve">.</w:t>
      </w:r>
    </w:p>
    <w:bookmarkEnd w:id="329"/>
    <w:bookmarkStart w:id="331"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0">
        <w:r>
          <w:rPr>
            <w:rStyle w:val="Hyperlink"/>
          </w:rPr>
          <w:t xml:space="preserve">https://doi.org/10.2196/51308</w:t>
        </w:r>
      </w:hyperlink>
      <w:r>
        <w:t xml:space="preserve">.</w:t>
      </w:r>
    </w:p>
    <w:bookmarkEnd w:id="331"/>
    <w:bookmarkStart w:id="333"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2">
        <w:r>
          <w:rPr>
            <w:rStyle w:val="Hyperlink"/>
          </w:rPr>
          <w:t xml:space="preserve">https://doi.org/10.1038/s41592-024-02499-w</w:t>
        </w:r>
      </w:hyperlink>
      <w:r>
        <w:t xml:space="preserve">.</w:t>
      </w:r>
    </w:p>
    <w:bookmarkEnd w:id="333"/>
    <w:bookmarkStart w:id="335"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4">
        <w:r>
          <w:rPr>
            <w:rStyle w:val="Hyperlink"/>
          </w:rPr>
          <w:t xml:space="preserve">http://arxiv.org/abs/2312.07353</w:t>
        </w:r>
      </w:hyperlink>
      <w:r>
        <w:t xml:space="preserve">.</w:t>
      </w:r>
    </w:p>
    <w:bookmarkEnd w:id="335"/>
    <w:bookmarkStart w:id="337"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36">
        <w:r>
          <w:rPr>
            <w:rStyle w:val="Hyperlink"/>
          </w:rPr>
          <w:t xml:space="preserve">http://arxiv.org/abs/2406.04520</w:t>
        </w:r>
      </w:hyperlink>
      <w:r>
        <w:t xml:space="preserve">.</w:t>
      </w:r>
    </w:p>
    <w:bookmarkEnd w:id="337"/>
    <w:bookmarkStart w:id="339"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38">
        <w:r>
          <w:rPr>
            <w:rStyle w:val="Hyperlink"/>
          </w:rPr>
          <w:t xml:space="preserve">http://arxiv.org/abs/2307.13854</w:t>
        </w:r>
      </w:hyperlink>
      <w:r>
        <w:t xml:space="preserve">.</w:t>
      </w:r>
    </w:p>
    <w:bookmarkEnd w:id="339"/>
    <w:bookmarkEnd w:id="340"/>
    <w:bookmarkEnd w:id="341"/>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6" Target="media/rId26.png" /><Relationship Type="http://schemas.openxmlformats.org/officeDocument/2006/relationships/image" Id="rId52" Target="media/rId52.svg" /><Relationship Type="http://schemas.openxmlformats.org/officeDocument/2006/relationships/image" Id="rId121" Target="media/rId121.svg" /><Relationship Type="http://schemas.openxmlformats.org/officeDocument/2006/relationships/image" Id="rId110" Target="media/rId110.svg" /><Relationship Type="http://schemas.openxmlformats.org/officeDocument/2006/relationships/image" Id="rId116" Target="media/rId116.svg" /><Relationship Type="http://schemas.openxmlformats.org/officeDocument/2006/relationships/image" Id="rId113" Target="media/rId113.png" /><Relationship Type="http://schemas.openxmlformats.org/officeDocument/2006/relationships/image" Id="rId119" Target="media/rId119.png" /><Relationship Type="http://schemas.openxmlformats.org/officeDocument/2006/relationships/image" Id="rId124" Target="media/rId124.png" /><Relationship Type="http://schemas.openxmlformats.org/officeDocument/2006/relationships/image" Id="rId55" Target="media/rId55.png" /><Relationship Type="http://schemas.openxmlformats.org/officeDocument/2006/relationships/hyperlink" Id="rId316" Target="http://arxiv.org/abs/2201.11903" TargetMode="External" /><Relationship Type="http://schemas.openxmlformats.org/officeDocument/2006/relationships/hyperlink" Id="rId200" Target="http://arxiv.org/abs/2203.15556" TargetMode="External" /><Relationship Type="http://schemas.openxmlformats.org/officeDocument/2006/relationships/hyperlink" Id="rId237" Target="http://arxiv.org/abs/2210.12889" TargetMode="External" /><Relationship Type="http://schemas.openxmlformats.org/officeDocument/2006/relationships/hyperlink" Id="rId312" Target="http://arxiv.org/abs/2211.04325" TargetMode="External" /><Relationship Type="http://schemas.openxmlformats.org/officeDocument/2006/relationships/hyperlink" Id="rId259" Target="http://arxiv.org/abs/2301.06627" TargetMode="External" /><Relationship Type="http://schemas.openxmlformats.org/officeDocument/2006/relationships/hyperlink" Id="rId196" Target="http://arxiv.org/abs/2302.09210" TargetMode="External" /><Relationship Type="http://schemas.openxmlformats.org/officeDocument/2006/relationships/hyperlink" Id="rId243" Target="http://arxiv.org/abs/2304.09848" TargetMode="External" /><Relationship Type="http://schemas.openxmlformats.org/officeDocument/2006/relationships/hyperlink" Id="rId170" Target="http://arxiv.org/abs/2305.00118" TargetMode="External" /><Relationship Type="http://schemas.openxmlformats.org/officeDocument/2006/relationships/hyperlink" Id="rId300" Target="http://arxiv.org/abs/2305.17493" TargetMode="External" /><Relationship Type="http://schemas.openxmlformats.org/officeDocument/2006/relationships/hyperlink" Id="rId338" Target="http://arxiv.org/abs/2307.13854" TargetMode="External" /><Relationship Type="http://schemas.openxmlformats.org/officeDocument/2006/relationships/hyperlink" Id="rId239" Target="http://arxiv.org/abs/2308.04445" TargetMode="External" /><Relationship Type="http://schemas.openxmlformats.org/officeDocument/2006/relationships/hyperlink" Id="rId192" Target="http://arxiv.org/abs/2308.12539" TargetMode="External" /><Relationship Type="http://schemas.openxmlformats.org/officeDocument/2006/relationships/hyperlink" Id="rId261" Target="http://arxiv.org/abs/2309.02884" TargetMode="External" /><Relationship Type="http://schemas.openxmlformats.org/officeDocument/2006/relationships/hyperlink" Id="rId174" Target="http://arxiv.org/abs/2309.03613" TargetMode="External" /><Relationship Type="http://schemas.openxmlformats.org/officeDocument/2006/relationships/hyperlink" Id="rId280" Target="http://arxiv.org/abs/2309.08594" TargetMode="External" /><Relationship Type="http://schemas.openxmlformats.org/officeDocument/2006/relationships/hyperlink" Id="rId182" Target="http://arxiv.org/abs/2309.11690" TargetMode="External" /><Relationship Type="http://schemas.openxmlformats.org/officeDocument/2006/relationships/hyperlink" Id="rId314" Target="http://arxiv.org/abs/2309.11758" TargetMode="External" /><Relationship Type="http://schemas.openxmlformats.org/officeDocument/2006/relationships/hyperlink" Id="rId158" Target="http://arxiv.org/abs/2309.12288" TargetMode="External" /><Relationship Type="http://schemas.openxmlformats.org/officeDocument/2006/relationships/hyperlink" Id="rId276" Target="http://arxiv.org/abs/2310.17623" TargetMode="External" /><Relationship Type="http://schemas.openxmlformats.org/officeDocument/2006/relationships/hyperlink" Id="rId263" Target="http://arxiv.org/abs/2312.00164" TargetMode="External" /><Relationship Type="http://schemas.openxmlformats.org/officeDocument/2006/relationships/hyperlink" Id="rId334" Target="http://arxiv.org/abs/2312.07353" TargetMode="External" /><Relationship Type="http://schemas.openxmlformats.org/officeDocument/2006/relationships/hyperlink" Id="rId160" Target="http://arxiv.org/abs/2312.16171" TargetMode="External" /><Relationship Type="http://schemas.openxmlformats.org/officeDocument/2006/relationships/hyperlink" Id="rId269" Target="http://arxiv.org/abs/2401.03910" TargetMode="External" /><Relationship Type="http://schemas.openxmlformats.org/officeDocument/2006/relationships/hyperlink" Id="rId218" Target="http://arxiv.org/abs/2401.06416" TargetMode="External" /><Relationship Type="http://schemas.openxmlformats.org/officeDocument/2006/relationships/hyperlink" Id="rId226" Target="http://arxiv.org/abs/2401.06866" TargetMode="External" /><Relationship Type="http://schemas.openxmlformats.org/officeDocument/2006/relationships/hyperlink" Id="rId294" Target="http://arxiv.org/abs/2402.01789" TargetMode="External" /><Relationship Type="http://schemas.openxmlformats.org/officeDocument/2006/relationships/hyperlink" Id="rId214" Target="http://arxiv.org/abs/2402.04845" TargetMode="External" /><Relationship Type="http://schemas.openxmlformats.org/officeDocument/2006/relationships/hyperlink" Id="rId298" Target="http://arxiv.org/abs/2402.08797" TargetMode="External" /><Relationship Type="http://schemas.openxmlformats.org/officeDocument/2006/relationships/hyperlink" Id="rId322" Target="http://arxiv.org/abs/2402.10588" TargetMode="External" /><Relationship Type="http://schemas.openxmlformats.org/officeDocument/2006/relationships/hyperlink" Id="rId282" Target="http://arxiv.org/abs/2402.13963" TargetMode="External" /><Relationship Type="http://schemas.openxmlformats.org/officeDocument/2006/relationships/hyperlink" Id="rId247" Target="http://arxiv.org/abs/2402.14905" TargetMode="External" /><Relationship Type="http://schemas.openxmlformats.org/officeDocument/2006/relationships/hyperlink" Id="rId290" Target="http://arxiv.org/abs/2402.16786" TargetMode="External" /><Relationship Type="http://schemas.openxmlformats.org/officeDocument/2006/relationships/hyperlink" Id="rId152" Target="http://arxiv.org/abs/2403.04652" TargetMode="External" /><Relationship Type="http://schemas.openxmlformats.org/officeDocument/2006/relationships/hyperlink" Id="rId166" Target="http://arxiv.org/abs/2403.06634" TargetMode="External" /><Relationship Type="http://schemas.openxmlformats.org/officeDocument/2006/relationships/hyperlink" Id="rId320" Target="http://arxiv.org/abs/2403.09751" TargetMode="External" /><Relationship Type="http://schemas.openxmlformats.org/officeDocument/2006/relationships/hyperlink" Id="rId278" Target="http://arxiv.org/abs/2403.17881" TargetMode="External" /><Relationship Type="http://schemas.openxmlformats.org/officeDocument/2006/relationships/hyperlink" Id="rId318" Target="http://arxiv.org/abs/2403.18802" TargetMode="External" /><Relationship Type="http://schemas.openxmlformats.org/officeDocument/2006/relationships/hyperlink" Id="rId241" Target="http://arxiv.org/abs/2403.20041" TargetMode="External" /><Relationship Type="http://schemas.openxmlformats.org/officeDocument/2006/relationships/hyperlink" Id="rId194" Target="http://arxiv.org/abs/2404.03264" TargetMode="External" /><Relationship Type="http://schemas.openxmlformats.org/officeDocument/2006/relationships/hyperlink" Id="rId310" Target="http://arxiv.org/abs/2404.04125" TargetMode="External" /><Relationship Type="http://schemas.openxmlformats.org/officeDocument/2006/relationships/hyperlink" Id="rId150" Target="http://arxiv.org/abs/2404.14219" TargetMode="External" /><Relationship Type="http://schemas.openxmlformats.org/officeDocument/2006/relationships/hyperlink" Id="rId208" Target="http://arxiv.org/abs/2404.18021" TargetMode="External" /><Relationship Type="http://schemas.openxmlformats.org/officeDocument/2006/relationships/hyperlink" Id="rId296" Target="http://arxiv.org/abs/2404.18416" TargetMode="External" /><Relationship Type="http://schemas.openxmlformats.org/officeDocument/2006/relationships/hyperlink" Id="rId336" Target="http://arxiv.org/abs/2406.04520" TargetMode="External" /><Relationship Type="http://schemas.openxmlformats.org/officeDocument/2006/relationships/hyperlink" Id="rId306" Target="http://arxiv.org/abs/2407.09025" TargetMode="External" /><Relationship Type="http://schemas.openxmlformats.org/officeDocument/2006/relationships/hyperlink" Id="rId251" Target="http://arxiv.org/abs/2408.06292" TargetMode="External" /><Relationship Type="http://schemas.openxmlformats.org/officeDocument/2006/relationships/hyperlink" Id="rId255" Target="http://arxiv.org/abs/2408.11876" TargetMode="External" /><Relationship Type="http://schemas.openxmlformats.org/officeDocument/2006/relationships/hyperlink" Id="rId220" Target="https://doi.org/10.1001/jama.2023.8288" TargetMode="External" /><Relationship Type="http://schemas.openxmlformats.org/officeDocument/2006/relationships/hyperlink" Id="rId188" Target="https://doi.org/10.1001/jamanetworkopen.2024.40969" TargetMode="External" /><Relationship Type="http://schemas.openxmlformats.org/officeDocument/2006/relationships/hyperlink" Id="rId198" Target="https://doi.org/10.1007/s10676-024-09775-5" TargetMode="External" /><Relationship Type="http://schemas.openxmlformats.org/officeDocument/2006/relationships/hyperlink" Id="rId304" Target="https://doi.org/10.1016/j.ajp.2023.103705" TargetMode="External" /><Relationship Type="http://schemas.openxmlformats.org/officeDocument/2006/relationships/hyperlink" Id="rId222" Target="https://doi.org/10.1016/j.mcpdig.2023.08.005" TargetMode="External" /><Relationship Type="http://schemas.openxmlformats.org/officeDocument/2006/relationships/hyperlink" Id="rId232" Target="https://doi.org/10.1016/j.oret.2016.12.009" TargetMode="External" /><Relationship Type="http://schemas.openxmlformats.org/officeDocument/2006/relationships/hyperlink" Id="rId328" Target="https://doi.org/10.1016/j.patter.2023.100802" TargetMode="External" /><Relationship Type="http://schemas.openxmlformats.org/officeDocument/2006/relationships/hyperlink" Id="rId224" Target="https://doi.org/10.1038/s41571-020-0329-7" TargetMode="External" /><Relationship Type="http://schemas.openxmlformats.org/officeDocument/2006/relationships/hyperlink" Id="rId302" Target="https://doi.org/10.1038/s41586-023-06291-2" TargetMode="External" /><Relationship Type="http://schemas.openxmlformats.org/officeDocument/2006/relationships/hyperlink" Id="rId274" Target="https://doi.org/10.1038/s41586-023-06802-1" TargetMode="External" /><Relationship Type="http://schemas.openxmlformats.org/officeDocument/2006/relationships/hyperlink" Id="rId288" Target="https://doi.org/10.1038/s41586-023-06924-6" TargetMode="External" /><Relationship Type="http://schemas.openxmlformats.org/officeDocument/2006/relationships/hyperlink" Id="rId172" Target="https://doi.org/10.1038/s41591-018-0107-6" TargetMode="External" /><Relationship Type="http://schemas.openxmlformats.org/officeDocument/2006/relationships/hyperlink" Id="rId184" Target="https://doi.org/10.1038/s41591-018-0316-z" TargetMode="External" /><Relationship Type="http://schemas.openxmlformats.org/officeDocument/2006/relationships/hyperlink" Id="rId332" Target="https://doi.org/10.1038/s41592-024-02499-w" TargetMode="External" /><Relationship Type="http://schemas.openxmlformats.org/officeDocument/2006/relationships/hyperlink" Id="rId162" Target="https://doi.org/10.1038/s41598-024-61221-0" TargetMode="External" /><Relationship Type="http://schemas.openxmlformats.org/officeDocument/2006/relationships/hyperlink" Id="rId267" Target="https://doi.org/10.1038/s41746-023-00873-0" TargetMode="External" /><Relationship Type="http://schemas.openxmlformats.org/officeDocument/2006/relationships/hyperlink" Id="rId324" Target="https://doi.org/10.1038/s41746-023-00879-8" TargetMode="External" /><Relationship Type="http://schemas.openxmlformats.org/officeDocument/2006/relationships/hyperlink" Id="rId234" Target="https://doi.org/10.1056/NEJMsr2214184" TargetMode="External" /><Relationship Type="http://schemas.openxmlformats.org/officeDocument/2006/relationships/hyperlink" Id="rId210" Target="https://doi.org/10.1073/pnas.2304748120" TargetMode="External" /><Relationship Type="http://schemas.openxmlformats.org/officeDocument/2006/relationships/hyperlink" Id="rId178" Target="https://doi.org/10.1080/09515080701239510" TargetMode="External" /><Relationship Type="http://schemas.openxmlformats.org/officeDocument/2006/relationships/hyperlink" Id="rId253" Target="https://doi.org/10.1093/bib/bbac409" TargetMode="External" /><Relationship Type="http://schemas.openxmlformats.org/officeDocument/2006/relationships/hyperlink" Id="rId202" Target="https://doi.org/10.1093/jncics/pkad010" TargetMode="External" /><Relationship Type="http://schemas.openxmlformats.org/officeDocument/2006/relationships/hyperlink" Id="rId228" Target="https://doi.org/10.1101/2022.12.19.22283643" TargetMode="External" /><Relationship Type="http://schemas.openxmlformats.org/officeDocument/2006/relationships/hyperlink" Id="rId154" Target="https://doi.org/10.1101/2023.09.11.556673" TargetMode="External" /><Relationship Type="http://schemas.openxmlformats.org/officeDocument/2006/relationships/hyperlink" Id="rId190" Target="https://doi.org/10.1126/science.adi1778" TargetMode="External" /><Relationship Type="http://schemas.openxmlformats.org/officeDocument/2006/relationships/hyperlink" Id="rId156" Target="https://doi.org/10.1145/3442188.3445922" TargetMode="External" /><Relationship Type="http://schemas.openxmlformats.org/officeDocument/2006/relationships/hyperlink" Id="rId284" Target="https://doi.org/10.1145/3531146.3533158" TargetMode="External" /><Relationship Type="http://schemas.openxmlformats.org/officeDocument/2006/relationships/hyperlink" Id="rId326" Target="https://doi.org/10.1177/17456916231201401" TargetMode="External" /><Relationship Type="http://schemas.openxmlformats.org/officeDocument/2006/relationships/hyperlink" Id="rId206" Target="https://doi.org/10.2139/ssrn.2325101" TargetMode="External" /><Relationship Type="http://schemas.openxmlformats.org/officeDocument/2006/relationships/hyperlink" Id="rId286" Target="https://doi.org/10.2196/48659" TargetMode="External" /><Relationship Type="http://schemas.openxmlformats.org/officeDocument/2006/relationships/hyperlink" Id="rId204" Target="https://doi.org/10.2196/48966" TargetMode="External" /><Relationship Type="http://schemas.openxmlformats.org/officeDocument/2006/relationships/hyperlink" Id="rId265" Target="https://doi.org/10.2196/50638" TargetMode="External" /><Relationship Type="http://schemas.openxmlformats.org/officeDocument/2006/relationships/hyperlink" Id="rId330" Target="https://doi.org/10.2196/51308" TargetMode="External" /><Relationship Type="http://schemas.openxmlformats.org/officeDocument/2006/relationships/hyperlink" Id="rId292" Target="https://doi.org/10.3390/socsci12030148" TargetMode="External" /><Relationship Type="http://schemas.openxmlformats.org/officeDocument/2006/relationships/hyperlink" Id="rId176" Target="https://doi.org/10.48550/ARXIV.2104.08758" TargetMode="External" /><Relationship Type="http://schemas.openxmlformats.org/officeDocument/2006/relationships/hyperlink" Id="rId249" Target="https://doi.org/10.48550/ARXIV.2209.07663" TargetMode="External" /><Relationship Type="http://schemas.openxmlformats.org/officeDocument/2006/relationships/hyperlink" Id="rId272" Target="https://doi.org/10.48550/ARXIV.2303.13375" TargetMode="External" /><Relationship Type="http://schemas.openxmlformats.org/officeDocument/2006/relationships/hyperlink" Id="rId168" Target="https://doi.org/10.48550/ARXIV.2305.00118" TargetMode="External" /><Relationship Type="http://schemas.openxmlformats.org/officeDocument/2006/relationships/hyperlink" Id="rId186" Target="https://doi.org/10.48550/ARXIV.2305.08283" TargetMode="External" /><Relationship Type="http://schemas.openxmlformats.org/officeDocument/2006/relationships/hyperlink" Id="rId212" Target="https://doi.org/10.48550/ARXIV.2305.08596" TargetMode="External" /><Relationship Type="http://schemas.openxmlformats.org/officeDocument/2006/relationships/hyperlink" Id="rId257" Target="https://doi.org/10.48550/ARXIV.2306.14308" TargetMode="External" /><Relationship Type="http://schemas.openxmlformats.org/officeDocument/2006/relationships/hyperlink" Id="rId216" Target="https://doi.org/10.48550/ARXIV.2307.10169" TargetMode="External" /><Relationship Type="http://schemas.openxmlformats.org/officeDocument/2006/relationships/hyperlink" Id="rId245" Target="https://doi.org/10.48550/ARXIV.2308.03688" TargetMode="External" /><Relationship Type="http://schemas.openxmlformats.org/officeDocument/2006/relationships/hyperlink" Id="rId164" Target="https://doi.org/10.48550/ARXIV.2308.08708" TargetMode="External" /><Relationship Type="http://schemas.openxmlformats.org/officeDocument/2006/relationships/hyperlink" Id="rId308" Target="https://doi.org/10.48550/ARXIV.2401.05654" TargetMode="External" /><Relationship Type="http://schemas.openxmlformats.org/officeDocument/2006/relationships/hyperlink" Id="rId180" Target="https://epochai.org/data/large-scale-ai-models" TargetMode="External" /></Relationships>
</file>

<file path=word/_rels/footnotes.xml.rels><?xml version="1.0" encoding="UTF-8"?><Relationships xmlns="http://schemas.openxmlformats.org/package/2006/relationships"><Relationship Type="http://schemas.openxmlformats.org/officeDocument/2006/relationships/hyperlink" Id="rId316" Target="http://arxiv.org/abs/2201.11903" TargetMode="External" /><Relationship Type="http://schemas.openxmlformats.org/officeDocument/2006/relationships/hyperlink" Id="rId200" Target="http://arxiv.org/abs/2203.15556" TargetMode="External" /><Relationship Type="http://schemas.openxmlformats.org/officeDocument/2006/relationships/hyperlink" Id="rId237" Target="http://arxiv.org/abs/2210.12889" TargetMode="External" /><Relationship Type="http://schemas.openxmlformats.org/officeDocument/2006/relationships/hyperlink" Id="rId312" Target="http://arxiv.org/abs/2211.04325" TargetMode="External" /><Relationship Type="http://schemas.openxmlformats.org/officeDocument/2006/relationships/hyperlink" Id="rId259" Target="http://arxiv.org/abs/2301.06627" TargetMode="External" /><Relationship Type="http://schemas.openxmlformats.org/officeDocument/2006/relationships/hyperlink" Id="rId196" Target="http://arxiv.org/abs/2302.09210" TargetMode="External" /><Relationship Type="http://schemas.openxmlformats.org/officeDocument/2006/relationships/hyperlink" Id="rId243" Target="http://arxiv.org/abs/2304.09848" TargetMode="External" /><Relationship Type="http://schemas.openxmlformats.org/officeDocument/2006/relationships/hyperlink" Id="rId170" Target="http://arxiv.org/abs/2305.00118" TargetMode="External" /><Relationship Type="http://schemas.openxmlformats.org/officeDocument/2006/relationships/hyperlink" Id="rId300" Target="http://arxiv.org/abs/2305.17493" TargetMode="External" /><Relationship Type="http://schemas.openxmlformats.org/officeDocument/2006/relationships/hyperlink" Id="rId338" Target="http://arxiv.org/abs/2307.13854" TargetMode="External" /><Relationship Type="http://schemas.openxmlformats.org/officeDocument/2006/relationships/hyperlink" Id="rId239" Target="http://arxiv.org/abs/2308.04445" TargetMode="External" /><Relationship Type="http://schemas.openxmlformats.org/officeDocument/2006/relationships/hyperlink" Id="rId192" Target="http://arxiv.org/abs/2308.12539" TargetMode="External" /><Relationship Type="http://schemas.openxmlformats.org/officeDocument/2006/relationships/hyperlink" Id="rId261" Target="http://arxiv.org/abs/2309.02884" TargetMode="External" /><Relationship Type="http://schemas.openxmlformats.org/officeDocument/2006/relationships/hyperlink" Id="rId174" Target="http://arxiv.org/abs/2309.03613" TargetMode="External" /><Relationship Type="http://schemas.openxmlformats.org/officeDocument/2006/relationships/hyperlink" Id="rId280" Target="http://arxiv.org/abs/2309.08594" TargetMode="External" /><Relationship Type="http://schemas.openxmlformats.org/officeDocument/2006/relationships/hyperlink" Id="rId182" Target="http://arxiv.org/abs/2309.11690" TargetMode="External" /><Relationship Type="http://schemas.openxmlformats.org/officeDocument/2006/relationships/hyperlink" Id="rId314" Target="http://arxiv.org/abs/2309.11758" TargetMode="External" /><Relationship Type="http://schemas.openxmlformats.org/officeDocument/2006/relationships/hyperlink" Id="rId158" Target="http://arxiv.org/abs/2309.12288" TargetMode="External" /><Relationship Type="http://schemas.openxmlformats.org/officeDocument/2006/relationships/hyperlink" Id="rId276" Target="http://arxiv.org/abs/2310.17623" TargetMode="External" /><Relationship Type="http://schemas.openxmlformats.org/officeDocument/2006/relationships/hyperlink" Id="rId263" Target="http://arxiv.org/abs/2312.00164" TargetMode="External" /><Relationship Type="http://schemas.openxmlformats.org/officeDocument/2006/relationships/hyperlink" Id="rId334" Target="http://arxiv.org/abs/2312.07353" TargetMode="External" /><Relationship Type="http://schemas.openxmlformats.org/officeDocument/2006/relationships/hyperlink" Id="rId160" Target="http://arxiv.org/abs/2312.16171" TargetMode="External" /><Relationship Type="http://schemas.openxmlformats.org/officeDocument/2006/relationships/hyperlink" Id="rId269" Target="http://arxiv.org/abs/2401.03910" TargetMode="External" /><Relationship Type="http://schemas.openxmlformats.org/officeDocument/2006/relationships/hyperlink" Id="rId218" Target="http://arxiv.org/abs/2401.06416" TargetMode="External" /><Relationship Type="http://schemas.openxmlformats.org/officeDocument/2006/relationships/hyperlink" Id="rId226" Target="http://arxiv.org/abs/2401.06866" TargetMode="External" /><Relationship Type="http://schemas.openxmlformats.org/officeDocument/2006/relationships/hyperlink" Id="rId294" Target="http://arxiv.org/abs/2402.01789" TargetMode="External" /><Relationship Type="http://schemas.openxmlformats.org/officeDocument/2006/relationships/hyperlink" Id="rId214" Target="http://arxiv.org/abs/2402.04845" TargetMode="External" /><Relationship Type="http://schemas.openxmlformats.org/officeDocument/2006/relationships/hyperlink" Id="rId298" Target="http://arxiv.org/abs/2402.08797" TargetMode="External" /><Relationship Type="http://schemas.openxmlformats.org/officeDocument/2006/relationships/hyperlink" Id="rId322" Target="http://arxiv.org/abs/2402.10588" TargetMode="External" /><Relationship Type="http://schemas.openxmlformats.org/officeDocument/2006/relationships/hyperlink" Id="rId282" Target="http://arxiv.org/abs/2402.13963" TargetMode="External" /><Relationship Type="http://schemas.openxmlformats.org/officeDocument/2006/relationships/hyperlink" Id="rId247" Target="http://arxiv.org/abs/2402.14905" TargetMode="External" /><Relationship Type="http://schemas.openxmlformats.org/officeDocument/2006/relationships/hyperlink" Id="rId290" Target="http://arxiv.org/abs/2402.16786" TargetMode="External" /><Relationship Type="http://schemas.openxmlformats.org/officeDocument/2006/relationships/hyperlink" Id="rId152" Target="http://arxiv.org/abs/2403.04652" TargetMode="External" /><Relationship Type="http://schemas.openxmlformats.org/officeDocument/2006/relationships/hyperlink" Id="rId166" Target="http://arxiv.org/abs/2403.06634" TargetMode="External" /><Relationship Type="http://schemas.openxmlformats.org/officeDocument/2006/relationships/hyperlink" Id="rId320" Target="http://arxiv.org/abs/2403.09751" TargetMode="External" /><Relationship Type="http://schemas.openxmlformats.org/officeDocument/2006/relationships/hyperlink" Id="rId278" Target="http://arxiv.org/abs/2403.17881" TargetMode="External" /><Relationship Type="http://schemas.openxmlformats.org/officeDocument/2006/relationships/hyperlink" Id="rId318" Target="http://arxiv.org/abs/2403.18802" TargetMode="External" /><Relationship Type="http://schemas.openxmlformats.org/officeDocument/2006/relationships/hyperlink" Id="rId241" Target="http://arxiv.org/abs/2403.20041" TargetMode="External" /><Relationship Type="http://schemas.openxmlformats.org/officeDocument/2006/relationships/hyperlink" Id="rId194" Target="http://arxiv.org/abs/2404.03264" TargetMode="External" /><Relationship Type="http://schemas.openxmlformats.org/officeDocument/2006/relationships/hyperlink" Id="rId310" Target="http://arxiv.org/abs/2404.04125" TargetMode="External" /><Relationship Type="http://schemas.openxmlformats.org/officeDocument/2006/relationships/hyperlink" Id="rId150" Target="http://arxiv.org/abs/2404.14219" TargetMode="External" /><Relationship Type="http://schemas.openxmlformats.org/officeDocument/2006/relationships/hyperlink" Id="rId208" Target="http://arxiv.org/abs/2404.18021" TargetMode="External" /><Relationship Type="http://schemas.openxmlformats.org/officeDocument/2006/relationships/hyperlink" Id="rId296" Target="http://arxiv.org/abs/2404.18416" TargetMode="External" /><Relationship Type="http://schemas.openxmlformats.org/officeDocument/2006/relationships/hyperlink" Id="rId336" Target="http://arxiv.org/abs/2406.04520" TargetMode="External" /><Relationship Type="http://schemas.openxmlformats.org/officeDocument/2006/relationships/hyperlink" Id="rId306" Target="http://arxiv.org/abs/2407.09025" TargetMode="External" /><Relationship Type="http://schemas.openxmlformats.org/officeDocument/2006/relationships/hyperlink" Id="rId251" Target="http://arxiv.org/abs/2408.06292" TargetMode="External" /><Relationship Type="http://schemas.openxmlformats.org/officeDocument/2006/relationships/hyperlink" Id="rId255" Target="http://arxiv.org/abs/2408.11876" TargetMode="External" /><Relationship Type="http://schemas.openxmlformats.org/officeDocument/2006/relationships/hyperlink" Id="rId220" Target="https://doi.org/10.1001/jama.2023.8288" TargetMode="External" /><Relationship Type="http://schemas.openxmlformats.org/officeDocument/2006/relationships/hyperlink" Id="rId188" Target="https://doi.org/10.1001/jamanetworkopen.2024.40969" TargetMode="External" /><Relationship Type="http://schemas.openxmlformats.org/officeDocument/2006/relationships/hyperlink" Id="rId198" Target="https://doi.org/10.1007/s10676-024-09775-5" TargetMode="External" /><Relationship Type="http://schemas.openxmlformats.org/officeDocument/2006/relationships/hyperlink" Id="rId304" Target="https://doi.org/10.1016/j.ajp.2023.103705" TargetMode="External" /><Relationship Type="http://schemas.openxmlformats.org/officeDocument/2006/relationships/hyperlink" Id="rId222" Target="https://doi.org/10.1016/j.mcpdig.2023.08.005" TargetMode="External" /><Relationship Type="http://schemas.openxmlformats.org/officeDocument/2006/relationships/hyperlink" Id="rId232" Target="https://doi.org/10.1016/j.oret.2016.12.009" TargetMode="External" /><Relationship Type="http://schemas.openxmlformats.org/officeDocument/2006/relationships/hyperlink" Id="rId328" Target="https://doi.org/10.1016/j.patter.2023.100802" TargetMode="External" /><Relationship Type="http://schemas.openxmlformats.org/officeDocument/2006/relationships/hyperlink" Id="rId224" Target="https://doi.org/10.1038/s41571-020-0329-7" TargetMode="External" /><Relationship Type="http://schemas.openxmlformats.org/officeDocument/2006/relationships/hyperlink" Id="rId302" Target="https://doi.org/10.1038/s41586-023-06291-2" TargetMode="External" /><Relationship Type="http://schemas.openxmlformats.org/officeDocument/2006/relationships/hyperlink" Id="rId274" Target="https://doi.org/10.1038/s41586-023-06802-1" TargetMode="External" /><Relationship Type="http://schemas.openxmlformats.org/officeDocument/2006/relationships/hyperlink" Id="rId288" Target="https://doi.org/10.1038/s41586-023-06924-6" TargetMode="External" /><Relationship Type="http://schemas.openxmlformats.org/officeDocument/2006/relationships/hyperlink" Id="rId172" Target="https://doi.org/10.1038/s41591-018-0107-6" TargetMode="External" /><Relationship Type="http://schemas.openxmlformats.org/officeDocument/2006/relationships/hyperlink" Id="rId184" Target="https://doi.org/10.1038/s41591-018-0316-z" TargetMode="External" /><Relationship Type="http://schemas.openxmlformats.org/officeDocument/2006/relationships/hyperlink" Id="rId332" Target="https://doi.org/10.1038/s41592-024-02499-w" TargetMode="External" /><Relationship Type="http://schemas.openxmlformats.org/officeDocument/2006/relationships/hyperlink" Id="rId162" Target="https://doi.org/10.1038/s41598-024-61221-0" TargetMode="External" /><Relationship Type="http://schemas.openxmlformats.org/officeDocument/2006/relationships/hyperlink" Id="rId267" Target="https://doi.org/10.1038/s41746-023-00873-0" TargetMode="External" /><Relationship Type="http://schemas.openxmlformats.org/officeDocument/2006/relationships/hyperlink" Id="rId324" Target="https://doi.org/10.1038/s41746-023-00879-8" TargetMode="External" /><Relationship Type="http://schemas.openxmlformats.org/officeDocument/2006/relationships/hyperlink" Id="rId234" Target="https://doi.org/10.1056/NEJMsr2214184" TargetMode="External" /><Relationship Type="http://schemas.openxmlformats.org/officeDocument/2006/relationships/hyperlink" Id="rId210" Target="https://doi.org/10.1073/pnas.2304748120" TargetMode="External" /><Relationship Type="http://schemas.openxmlformats.org/officeDocument/2006/relationships/hyperlink" Id="rId178" Target="https://doi.org/10.1080/09515080701239510" TargetMode="External" /><Relationship Type="http://schemas.openxmlformats.org/officeDocument/2006/relationships/hyperlink" Id="rId253" Target="https://doi.org/10.1093/bib/bbac409" TargetMode="External" /><Relationship Type="http://schemas.openxmlformats.org/officeDocument/2006/relationships/hyperlink" Id="rId202" Target="https://doi.org/10.1093/jncics/pkad010" TargetMode="External" /><Relationship Type="http://schemas.openxmlformats.org/officeDocument/2006/relationships/hyperlink" Id="rId228" Target="https://doi.org/10.1101/2022.12.19.22283643" TargetMode="External" /><Relationship Type="http://schemas.openxmlformats.org/officeDocument/2006/relationships/hyperlink" Id="rId154" Target="https://doi.org/10.1101/2023.09.11.556673" TargetMode="External" /><Relationship Type="http://schemas.openxmlformats.org/officeDocument/2006/relationships/hyperlink" Id="rId190" Target="https://doi.org/10.1126/science.adi1778" TargetMode="External" /><Relationship Type="http://schemas.openxmlformats.org/officeDocument/2006/relationships/hyperlink" Id="rId156" Target="https://doi.org/10.1145/3442188.3445922" TargetMode="External" /><Relationship Type="http://schemas.openxmlformats.org/officeDocument/2006/relationships/hyperlink" Id="rId284" Target="https://doi.org/10.1145/3531146.3533158" TargetMode="External" /><Relationship Type="http://schemas.openxmlformats.org/officeDocument/2006/relationships/hyperlink" Id="rId326" Target="https://doi.org/10.1177/17456916231201401" TargetMode="External" /><Relationship Type="http://schemas.openxmlformats.org/officeDocument/2006/relationships/hyperlink" Id="rId206" Target="https://doi.org/10.2139/ssrn.2325101" TargetMode="External" /><Relationship Type="http://schemas.openxmlformats.org/officeDocument/2006/relationships/hyperlink" Id="rId286" Target="https://doi.org/10.2196/48659" TargetMode="External" /><Relationship Type="http://schemas.openxmlformats.org/officeDocument/2006/relationships/hyperlink" Id="rId204" Target="https://doi.org/10.2196/48966" TargetMode="External" /><Relationship Type="http://schemas.openxmlformats.org/officeDocument/2006/relationships/hyperlink" Id="rId265" Target="https://doi.org/10.2196/50638" TargetMode="External" /><Relationship Type="http://schemas.openxmlformats.org/officeDocument/2006/relationships/hyperlink" Id="rId330" Target="https://doi.org/10.2196/51308" TargetMode="External" /><Relationship Type="http://schemas.openxmlformats.org/officeDocument/2006/relationships/hyperlink" Id="rId292" Target="https://doi.org/10.3390/socsci12030148" TargetMode="External" /><Relationship Type="http://schemas.openxmlformats.org/officeDocument/2006/relationships/hyperlink" Id="rId176" Target="https://doi.org/10.48550/ARXIV.2104.08758" TargetMode="External" /><Relationship Type="http://schemas.openxmlformats.org/officeDocument/2006/relationships/hyperlink" Id="rId249" Target="https://doi.org/10.48550/ARXIV.2209.07663" TargetMode="External" /><Relationship Type="http://schemas.openxmlformats.org/officeDocument/2006/relationships/hyperlink" Id="rId272" Target="https://doi.org/10.48550/ARXIV.2303.13375" TargetMode="External" /><Relationship Type="http://schemas.openxmlformats.org/officeDocument/2006/relationships/hyperlink" Id="rId168" Target="https://doi.org/10.48550/ARXIV.2305.00118" TargetMode="External" /><Relationship Type="http://schemas.openxmlformats.org/officeDocument/2006/relationships/hyperlink" Id="rId186" Target="https://doi.org/10.48550/ARXIV.2305.08283" TargetMode="External" /><Relationship Type="http://schemas.openxmlformats.org/officeDocument/2006/relationships/hyperlink" Id="rId212" Target="https://doi.org/10.48550/ARXIV.2305.08596" TargetMode="External" /><Relationship Type="http://schemas.openxmlformats.org/officeDocument/2006/relationships/hyperlink" Id="rId257" Target="https://doi.org/10.48550/ARXIV.2306.14308" TargetMode="External" /><Relationship Type="http://schemas.openxmlformats.org/officeDocument/2006/relationships/hyperlink" Id="rId216" Target="https://doi.org/10.48550/ARXIV.2307.10169" TargetMode="External" /><Relationship Type="http://schemas.openxmlformats.org/officeDocument/2006/relationships/hyperlink" Id="rId245" Target="https://doi.org/10.48550/ARXIV.2308.03688" TargetMode="External" /><Relationship Type="http://schemas.openxmlformats.org/officeDocument/2006/relationships/hyperlink" Id="rId164" Target="https://doi.org/10.48550/ARXIV.2308.08708" TargetMode="External" /><Relationship Type="http://schemas.openxmlformats.org/officeDocument/2006/relationships/hyperlink" Id="rId308" Target="https://doi.org/10.48550/ARXIV.2401.05654" TargetMode="External" /><Relationship Type="http://schemas.openxmlformats.org/officeDocument/2006/relationships/hyperlink" Id="rId180" Target="https://epochai.org/data/large-scale-ai-model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2025-03-27T15:31:50Z</dcterms:created>
  <dcterms:modified xsi:type="dcterms:W3CDTF">2025-03-27T15:31:50Z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2025-03-27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