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png" ContentType="image/png"/>
  <Override PartName="/word/media/rId42.png" ContentType="image/png"/>
  <Override PartName="/word/media/rId39.png" ContentType="image/png"/>
  <Override PartName="/word/media/rId4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This is an initial placeholder for a 75,000 word book.</w:t>
      </w:r>
    </w:p>
    <w:p>
      <w:pPr>
        <w:pStyle w:val="BodyText"/>
      </w:pPr>
      <w:r>
        <w:t xml:space="preserve">Current word count = 25839</w:t>
      </w:r>
    </w:p>
    <w:p>
      <w:pPr>
        <w:pStyle w:val="BodyText"/>
      </w:pPr>
      <w:r>
        <w:t xml:space="preserve">This is the preface</w:t>
      </w:r>
    </w:p>
    <w:bookmarkEnd w:id="20"/>
    <w:bookmarkStart w:id="21" w:name="introduction"/>
    <w:p>
      <w:pPr>
        <w:pStyle w:val="Heading1"/>
      </w:pPr>
      <w:r>
        <w:t xml:space="preserve">Introduction</w:t>
      </w:r>
    </w:p>
    <w:p>
      <w:pPr>
        <w:pStyle w:val="FirstParagraph"/>
      </w:pPr>
      <w:r>
        <w:t xml:space="preserve">In 2021, a team of music historians, musicologists, composers and computer scientists gathered in… to undertake a task that had never been attempted before: to complete Beethoven’s tenth symphony with the help of Artificial Intelligence. Beethoven had started composing the symphony but had died in 1827 before making much progress. He only left behind a few musical sketches, not a substantive draft on which the team could easily build. Nonetheless, the team trained a computer on Beethoven’s entire body of work and then let AI do the rest of the work, the composing of the entire symphony.</w:t>
      </w:r>
    </w:p>
    <w:p>
      <w:pPr>
        <w:pStyle w:val="BodyText"/>
      </w:pPr>
      <w:r>
        <w:t xml:space="preserve">This is the typical way that AI works, in two main steps: firt</w:t>
      </w:r>
      <w:r>
        <w:t xml:space="preserve"> </w:t>
      </w:r>
      <w:r>
        <w:t xml:space="preserve">“to learn”</w:t>
      </w:r>
      <w:r>
        <w:t xml:space="preserve"> </w:t>
      </w:r>
      <w:r>
        <w:t xml:space="preserve">and then</w:t>
      </w:r>
      <w:r>
        <w:t xml:space="preserve"> </w:t>
      </w:r>
      <w:r>
        <w:t xml:space="preserve">“to do”</w:t>
      </w:r>
      <w:r>
        <w:t xml:space="preserve">. An AI program has to first learn or</w:t>
      </w:r>
      <w:r>
        <w:t xml:space="preserve"> </w:t>
      </w:r>
      <w:r>
        <w:t xml:space="preserve">“train”</w:t>
      </w:r>
      <w:r>
        <w:t xml:space="preserve"> </w:t>
      </w:r>
      <w:r>
        <w:t xml:space="preserve">from an existing database everything that it can learn that is relevant to the planned project. This is the training phase. Then the AI program has to do or respond to a request to use what it has learned during the training phase to deliver a response or an output. This is the inference phase.</w:t>
      </w:r>
    </w:p>
    <w:p>
      <w:pPr>
        <w:pStyle w:val="BodyText"/>
      </w:pPr>
      <w:r>
        <w:t xml:space="preserve">This is exactly what the … team did. They trained AI on Beethoven’s symphonies and other musical pieces, as well as the early sketches he had started for the tenth symphony, and then asked the AI program to create the rest of the symphony based on what it had learned during the training phase.</w:t>
      </w:r>
    </w:p>
    <w:p>
      <w:pPr>
        <w:pStyle w:val="BodyText"/>
      </w:pPr>
      <w:r>
        <w:t xml:space="preserve">We start with this project because it neatly summarizes common aspirations about AI. Many people do expect AI to eventually replace the vast majority of human work. And here was an example with a team of professionals training a machine to replace, or at least replicate, the work of a human, albeit a genius and not an ordinary human.</w:t>
      </w:r>
    </w:p>
    <w:p>
      <w:pPr>
        <w:pStyle w:val="BodyText"/>
      </w:pPr>
      <w:r>
        <w:t xml:space="preserve">There were much pomp and expectation around the project and the team announced that the tenth symphony created by AI would be released in a world premiere performance in Bonn, Germany, on October 9, 2021. When the day came, …</w:t>
      </w:r>
    </w:p>
    <w:p>
      <w:pPr>
        <w:pStyle w:val="BodyText"/>
      </w:pPr>
      <w:r>
        <w:t xml:space="preserve">In the subsequent days and months, a consensus gradually formed about the AI generated tenth symphony. And it was this: the music did sound like Beethoven in many parts, but it lacked the ultimate ingredients that made other symphonies masterpieces: passion, spirit, a tangible human touch. Instead the AI tenth sounded mechanical and betrayed its genesis by being too repetitive in the wrong places. In short, it was precise and competent in the way of a robot, but it was ultimate deficient for its inability to convey passion, to elevate and to inspire listeners.</w:t>
      </w:r>
    </w:p>
    <w:p>
      <w:pPr>
        <w:pStyle w:val="BodyText"/>
      </w:pPr>
      <w:r>
        <w:t xml:space="preserve">In our readings about the AI generated symphony, we looked at a large number of opinions by experts from all walks of life. But one in particular from Jan… summarizes, in our view, the central reason that the AI-generated tenth symphony fell short of actual Beethoven-created symphonies. It was not only that it was mechanical and repetitive. Perhaps these flaws could have been fixed in a subsequent iteration. Nor was it that… In the end, as J… put it, the tenth symphony fails to stir us for one main reason which is that listeners</w:t>
      </w:r>
      <w:r>
        <w:t xml:space="preserve"> </w:t>
      </w:r>
      <w:r>
        <w:t xml:space="preserve">“want to see the human do it.”</w:t>
      </w:r>
    </w:p>
    <w:p>
      <w:pPr>
        <w:pStyle w:val="BodyText"/>
      </w:pPr>
      <w:r>
        <w:t xml:space="preserve">Humans want to see other humans do it. These eight words sum up the thesis of this book. And from them, we derive our belief that AI can be a very effective assistant to humans in a large number of tasks but it will never satisfactorily replace humans. Leadership and teamwork require the input and inspiration imparted by a leader and by team mates, and a robot, or AI-trained program, will never be able to provide that human input and this inspiration.</w:t>
      </w:r>
    </w:p>
    <w:p>
      <w:pPr>
        <w:pStyle w:val="BodyText"/>
      </w:pPr>
      <w:r>
        <w:t xml:space="preserve">This is the right time to have this conversation because the AI revolution has spawned two competing narratives, both fundamentally wrong.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 – one where artificial intelligence enhances rather than replaces human capabilities. This means that the doomsayers are wrong because the optimal completion of a task will remain elusive without the work of humans using AI. And it also means that the techno-utopians are also wrong because AI will not harness the creativity that is need to solve on its own our greatest challenges.</w:t>
      </w:r>
    </w:p>
    <w:p>
      <w:pPr>
        <w:pStyle w:val="BodyText"/>
      </w:pPr>
      <w:r>
        <w:t xml:space="preserve">Our own view is that AI is best seen as a force multiplier, and a formidable one. Humanity has developed many force multipliers through its history and they have all added to the productivity of humans and to the wealth of society. And now humanity will develop yet another, and perhaps the most powerful of all, force multiplier that will similarly boost productivity and raise living standards.</w:t>
      </w:r>
    </w:p>
    <w:p>
      <w:pPr>
        <w:pStyle w:val="BodyText"/>
      </w:pPr>
      <w:r>
        <w:t xml:space="preserve">This is not to say that all jobs will be preserved. Of course, there will be much disruption and dislocation. Many jobs will completely disappear or will be completely taken over by AI, but AI will be in most cases a very competent and very efficient assistant, not a leader or conductor of the proceedings. It is true at the same time that large numbers of people will need to retrain to do other jobs, but this has often be true in our modern society. It may well be that the numbers will be larger this time around, but they were also larger last time than they had been the previous time. Human progress is inherently destructive of jobs that can be replaced by machine. There are millions of robots today that perform the tasks that used to be done by human factory workers only a few decades ago. This has always been the march of technology. AI may be faster than previous revolutions, but then its rewards will also be faster and richer.</w:t>
      </w:r>
    </w:p>
    <w:p>
      <w:pPr>
        <w:pStyle w:val="BodyText"/>
      </w:pPr>
      <w:r>
        <w:t xml:space="preserve">Talking more practically, we have already observed a pattern across industries that supports our thesis: the most successful AI applications are those that augment human judgment rather than attempt to replicate it. Here we draw on our long experiences in finance and technology. We see that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 We are in the early days of AI but our view is that this will remain true with future AI systems that are far more developed than today’s.</w:t>
      </w:r>
    </w:p>
    <w:p>
      <w:pPr>
        <w:pStyle w:val="BodyText"/>
      </w:pPr>
      <w:r>
        <w:t xml:space="preserve">Previous technological revolutions followed similar paths. There was much concern among bank tellers when ATMs were first introduced that the job of a human teller was going to disappear. This was a rational fear. Why wait in line to see a teller if you can just make deposits and withdrawals at an ATM? And from the bank’s point of view, why employ tellers when you can deploy ATMs at a much lower cost? It turned however that people still needed human tellers for transactions that went beyond simple deposits and withdrawals. But another dynamic proved even more revealing. Because banks were able to reduce the number of tellers per branch and were also able to reduce their costs thanks to other technological advances, they were ultimately able to open more branches, each of which required a minimal number of human tellers. The net result is that the total number of people employed as tellers was in fact larger after ATMs were introduced than before they were introduced.</w:t>
      </w:r>
    </w:p>
    <w:p>
      <w:pPr>
        <w:pStyle w:val="BodyText"/>
      </w:pPr>
      <w:r>
        <w:t xml:space="preserve">The same experience was repeated in other fields. Computer-aided design tools were expected to replace architects; instead, they enhanced architects’ ability to explore creative possibilities through new technology and it allowed architecture firms to hire more architects.</w:t>
      </w:r>
    </w:p>
    <w:p>
      <w:pPr>
        <w:pStyle w:val="BodyText"/>
      </w:pPr>
      <w:r>
        <w:t xml:space="preserve">One key difference today may be the pace and scope of change that AI enables.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This book challenges both the fear-mongering and the hype around AI. Instead, we present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r>
        <w:t xml:space="preserve"> </w:t>
      </w:r>
      <w:r>
        <w:t xml:space="preserve">For business leaders, this book offers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 – and its implications for business strategy, investment decisions, and policy choices – 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51" w:name="Xca8b6c6a32a4db2ef2888c8a2026db48cdf353f"/>
    <w:p>
      <w:pPr>
        <w:pStyle w:val="Heading1"/>
      </w:pPr>
      <w:r>
        <w:t xml:space="preserve">2. Inside the Black Box: Understanding What AI Actually Does</w:t>
      </w:r>
    </w:p>
    <w:p>
      <w:pPr>
        <w:pStyle w:val="FirstParagraph"/>
      </w:pPr>
      <w:r>
        <w:t xml:space="preserve">Demystifying AI’s real capabilities and limitations from an implementer’s perspective</w:t>
      </w:r>
    </w:p>
    <w:bookmarkStart w:id="23" w:name="about-ai"/>
    <w:p>
      <w:pPr>
        <w:pStyle w:val="Heading2"/>
      </w:pPr>
      <w:r>
        <w:t xml:space="preserve">2.1 About AI</w:t>
      </w:r>
    </w:p>
    <w:p>
      <w:pPr>
        <w:pStyle w:val="FirstParagraph"/>
      </w:pPr>
      <w:r>
        <w:t xml:space="preserve">Artificial intelligence is a broad field which long-time researchers often jokingly define as</w:t>
      </w:r>
      <w:r>
        <w:t xml:space="preserve"> </w:t>
      </w:r>
      <w:r>
        <w:t xml:space="preserve">“anything computers can’t do yet”</w:t>
      </w:r>
      <w:r>
        <w:t xml:space="preserve">. 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Under the hood, LLMs are less magical and based on a straightforward application of an optimization algorithm called Generative Pre-trained Transformer (GPT) invented by Google researchers in 2017.</w:t>
      </w:r>
    </w:p>
    <w:p>
      <w:pPr>
        <w:pStyle w:val="BodyText"/>
      </w:pPr>
      <w:r>
        <w:t xml:space="preserve">You can think of LLMs as a massively optimized and expanded version of the auto-complete feature your smartphone has featured for years. Instead of proposing the next word or two, LLMs can generate full sentences, paragraphs, books, and on and on without limit. Its power comes from the GPT optimization that lets it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GPT algorithm has one critical limitation: once set in motion, it cannot backtrack. Humans plan ahead, weigh different scenarios, and can change their minds based on foreseen alternatives. GPTs can only fake this planning ability through their access to mountains of data where such alternatives have already been explored. GPTs cannot do Sudoku, or handle chess boards not covered in its training books. Similarly, although it may</w:t>
      </w:r>
      <w:r>
        <w:t xml:space="preserve"> </w:t>
      </w:r>
      <w:r>
        <w:rPr>
          <w:i/>
          <w:iCs/>
        </w:rPr>
        <w:t xml:space="preserve">appear</w:t>
      </w:r>
      <w:r>
        <w:t xml:space="preserve"> </w:t>
      </w:r>
      <w:r>
        <w:t xml:space="preserve">to evaluate potential investment scenarios, it is merely spitting out a long stream of text that it harvested from options that were already evaluated somewhere in the bowels of its (massive) training sets.</w:t>
      </w:r>
    </w:p>
    <w:p>
      <w:pPr>
        <w:pStyle w:val="BodyText"/>
      </w:pPr>
      <w:r>
        <w:t xml:space="preserve">It’s important to keep this</w:t>
      </w:r>
      <w:r>
        <w:t xml:space="preserve"> </w:t>
      </w:r>
      <w:r>
        <w:t xml:space="preserve">“one-way”</w:t>
      </w:r>
      <w:r>
        <w:t xml:space="preserve"> </w:t>
      </w:r>
      <w:r>
        <w:t xml:space="preserve">fact in mind when using LLMs. Because they have no concept of imagining how a future situation might change current plans, it would be wise to take its predictions with caution.</w:t>
      </w:r>
    </w:p>
    <w:p>
      <w:r>
        <w:pict>
          <v:rect style="width:0;height:1.5pt" o:hralign="center" o:hrstd="t" o:hr="t"/>
        </w:pict>
      </w:r>
    </w:p>
    <w:p>
      <w:pPr>
        <w:pStyle w:val="FirstParagraph"/>
      </w:pPr>
      <w:r>
        <w:t xml:space="preserve">LLMs are</w:t>
      </w:r>
      <w:r>
        <w:t xml:space="preserve"> </w:t>
      </w:r>
      <w:r>
        <w:rPr>
          <w:i/>
          <w:iCs/>
        </w:rPr>
        <w:t xml:space="preserve">models</w:t>
      </w:r>
      <w:r>
        <w:t xml:space="preserve"> </w:t>
      </w:r>
      <w:r>
        <w:t xml:space="preserve">that compress all human knowledge – written, spoken, images, video – into a format that can generate similar-seeming content when given a starting prompt. Although the final models themselves are small enough to fit on a laptop or smartphone, they are created through a training process that consumes massive amounts of data — virtually everything on the public internet, plus collections of the text from millions of books, magazines, academic journals, patent filings, and anything else its creators can find.</w:t>
      </w:r>
    </w:p>
    <w:p>
      <w:pPr>
        <w:pStyle w:val="BodyText"/>
      </w:pPr>
      <w:r>
        <w:t xml:space="preserve">Thanks to a clever, time-saving shortcut discovered in the 2017 GPT algorithm, key parts of the training happen in parallel, limited only by the number of GPUs available. It’s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For example, the statistically most likely way to complete the phrase</w:t>
      </w:r>
      <w:r>
        <w:t xml:space="preserve"> </w:t>
      </w:r>
      <w:r>
        <w:t xml:space="preserve">“what is 1 + 1?”</w:t>
      </w:r>
      <w:r>
        <w:t xml:space="preserve"> </w:t>
      </w:r>
      <w:r>
        <w:t xml:space="preserve">is</w:t>
      </w:r>
      <w:r>
        <w:t xml:space="preserve"> </w:t>
      </w:r>
      <w:r>
        <w:t xml:space="preserve">“2”</w:t>
      </w:r>
      <w:r>
        <w:t xml:space="preserve">.</w:t>
      </w:r>
    </w:p>
    <w:p>
      <w:pPr>
        <w:pStyle w:val="BodyText"/>
      </w:pPr>
      <w:r>
        <w:t xml:space="preserve">The final LLM consists of billions of</w:t>
      </w:r>
      <w:r>
        <w:t xml:space="preserve"> </w:t>
      </w:r>
      <w:r>
        <w:t xml:space="preserve">“parameters”</w:t>
      </w:r>
      <w:r>
        <w:t xml:space="preserve">, 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p>
      <w:pPr>
        <w:pStyle w:val="BodyText"/>
      </w:pPr>
      <w:r>
        <w:t xml:space="preserve">Although these completions can be uncannily realistic, it’s important to keep in mind that</w:t>
      </w:r>
      <w:r>
        <w:t xml:space="preserve"> </w:t>
      </w:r>
      <w:r>
        <w:rPr>
          <w:i/>
          <w:iCs/>
        </w:rPr>
        <w:t xml:space="preserve">it’s just auto-completion</w:t>
      </w:r>
      <w:r>
        <w:t xml:space="preserve">. Just as you would want to review an auto-complete suggestion before sending a reply on your smartphone, your ChatGPT answers require a similar level of skeptical scrutiny.</w:t>
      </w:r>
    </w:p>
    <w:bookmarkEnd w:id="23"/>
    <w:bookmarkStart w:id="24" w:name="X8269013722ea6f714c90bf4fcef001890b36d5f"/>
    <w:p>
      <w:pPr>
        <w:pStyle w:val="Heading2"/>
      </w:pPr>
      <w:r>
        <w:t xml:space="preserve">2.2 How does an LLM-based generative system work?</w:t>
      </w:r>
    </w:p>
    <w:p>
      <w:pPr>
        <w:pStyle w:val="FirstParagraph"/>
      </w:pPr>
      <w:r>
        <w:t xml:space="preserve">Imagine you have access to a zillion documents, preferably curated in some way reassures you about their quality and consistency. Wikipedia, for example, or maybe Reddit and other posts that have been sufficiently up-voted. Maybe you also have a corpus of published articles and books from trustworthy sources.</w:t>
      </w:r>
    </w:p>
    <w:p>
      <w:pPr>
        <w:pStyle w:val="BodyText"/>
      </w:pPr>
      <w:r>
        <w:t xml:space="preserve">It would be straightforward to tag all words in these documents with labels like</w:t>
      </w:r>
      <w:r>
        <w:t xml:space="preserve"> </w:t>
      </w:r>
      <w:r>
        <w:t xml:space="preserve">“noun”</w:t>
      </w:r>
      <w:r>
        <w:t xml:space="preserve">,</w:t>
      </w:r>
      <w:r>
        <w:t xml:space="preserve"> </w:t>
      </w:r>
      <w:r>
        <w:t xml:space="preserve">“verb”</w:t>
      </w:r>
      <w:r>
        <w:t xml:space="preserve">,</w:t>
      </w:r>
      <w:r>
        <w:t xml:space="preserve"> </w:t>
      </w:r>
      <w:r>
        <w:t xml:space="preserve">“proper noun”</w:t>
      </w:r>
      <w:r>
        <w:t xml:space="preserve">, etc. Of course there would be lots of tricky edge cases, but a generation of spelling and grammar-checkers makes the task doable.</w:t>
      </w:r>
    </w:p>
    <w:p>
      <w:pPr>
        <w:pStyle w:val="BodyText"/>
      </w:pPr>
      <w:r>
        <w:t xml:space="preserve">Now instead of organizing the dictionary by parts of speech, imagine your words are tagged</w:t>
      </w:r>
      <w:r>
        <w:t xml:space="preserve"> </w:t>
      </w:r>
      <w:r>
        <w:rPr>
          <w:i/>
          <w:iCs/>
        </w:rPr>
        <w:t xml:space="preserve">semantically</w:t>
      </w:r>
      <w:r>
        <w:t xml:space="preserve">. A word like</w:t>
      </w:r>
      <w:r>
        <w:t xml:space="preserve"> </w:t>
      </w:r>
      <w:r>
        <w:t xml:space="preserve">“queen”</w:t>
      </w:r>
      <w:r>
        <w:t xml:space="preserve">, for example, is broken into the labels</w:t>
      </w:r>
      <w:r>
        <w:t xml:space="preserve"> </w:t>
      </w:r>
      <w:r>
        <w:t xml:space="preserve">“female”</w:t>
      </w:r>
      <w:r>
        <w:t xml:space="preserve"> </w:t>
      </w:r>
      <w:r>
        <w:t xml:space="preserve">and</w:t>
      </w:r>
      <w:r>
        <w:t xml:space="preserve"> </w:t>
      </w:r>
      <w:r>
        <w:t xml:space="preserve">“monarch”</w:t>
      </w:r>
      <w:r>
        <w:t xml:space="preserve">; change the label</w:t>
      </w:r>
      <w:r>
        <w:t xml:space="preserve"> </w:t>
      </w:r>
      <w:r>
        <w:t xml:space="preserve">“female”</w:t>
      </w:r>
      <w:r>
        <w:t xml:space="preserve"> </w:t>
      </w:r>
      <w:r>
        <w:t xml:space="preserve">to</w:t>
      </w:r>
      <w:r>
        <w:t xml:space="preserve"> </w:t>
      </w:r>
      <w:r>
        <w:t xml:space="preserve">“male”</w:t>
      </w:r>
      <w:r>
        <w:t xml:space="preserve"> </w:t>
      </w:r>
      <w:r>
        <w:t xml:space="preserve">and you have</w:t>
      </w:r>
      <w:r>
        <w:t xml:space="preserve"> </w:t>
      </w:r>
      <w:r>
        <w:t xml:space="preserve">“king”</w:t>
      </w:r>
      <w:r>
        <w:t xml:space="preserve">. A word like</w:t>
      </w:r>
      <w:r>
        <w:t xml:space="preserve"> </w:t>
      </w:r>
      <w:r>
        <w:t xml:space="preserve">“Starbucks”</w:t>
      </w:r>
      <w:r>
        <w:t xml:space="preserve"> </w:t>
      </w:r>
      <w:r>
        <w:t xml:space="preserve">might include labels like</w:t>
      </w:r>
      <w:r>
        <w:t xml:space="preserve"> </w:t>
      </w:r>
      <w:r>
        <w:t xml:space="preserve">“coffee”</w:t>
      </w:r>
      <w:r>
        <w:t xml:space="preserve">, as well as</w:t>
      </w:r>
      <w:r>
        <w:t xml:space="preserve"> </w:t>
      </w:r>
      <w:r>
        <w:t xml:space="preserve">“retail store”</w:t>
      </w:r>
      <w:r>
        <w:t xml:space="preserve"> </w:t>
      </w:r>
      <w:r>
        <w:t xml:space="preserve">or even</w:t>
      </w:r>
      <w:r>
        <w:t xml:space="preserve"> </w:t>
      </w:r>
      <w:r>
        <w:t xml:space="preserve">“Fortune 500 business”</w:t>
      </w:r>
      <w:r>
        <w:t xml:space="preserve">. You can shift the meaning by changing the labels.</w:t>
      </w:r>
    </w:p>
    <w:p>
      <w:pPr>
        <w:pStyle w:val="BodyText"/>
      </w:pPr>
      <w:r>
        <w:t xml:space="preserve">Generating a good semantic model like this would itself be a significant undertaking, but people have been working on this for a while, and various good</w:t>
      </w:r>
      <w:r>
        <w:t xml:space="preserve"> </w:t>
      </w:r>
      <w:r>
        <w:t xml:space="preserve">“unsupervised”</w:t>
      </w:r>
      <w:r>
        <w:t xml:space="preserve"> </w:t>
      </w:r>
      <w:r>
        <w:t xml:space="preserve">means have been developed that can do this fairly well. For example, one trick might be to assign labels based on the types of words nearby. The word</w:t>
      </w:r>
      <w:r>
        <w:t xml:space="preserve"> </w:t>
      </w:r>
      <w:r>
        <w:t xml:space="preserve">“Starbucks”</w:t>
      </w:r>
      <w:r>
        <w:t xml:space="preserve"> </w:t>
      </w:r>
      <w:r>
        <w:t xml:space="preserve">means</w:t>
      </w:r>
      <w:r>
        <w:t xml:space="preserve"> </w:t>
      </w:r>
      <w:r>
        <w:t xml:space="preserve">“Fortune 500 Business”</w:t>
      </w:r>
      <w:r>
        <w:t xml:space="preserve"> </w:t>
      </w:r>
      <w:r>
        <w:t xml:space="preserve">if you find it in a paragraph containing words like</w:t>
      </w:r>
      <w:r>
        <w:t xml:space="preserve"> </w:t>
      </w:r>
      <w:r>
        <w:t xml:space="preserve">“earnings”</w:t>
      </w:r>
      <w:r>
        <w:t xml:space="preserve"> </w:t>
      </w:r>
      <w:r>
        <w:t xml:space="preserve">or</w:t>
      </w:r>
      <w:r>
        <w:t xml:space="preserve"> </w:t>
      </w:r>
      <w:r>
        <w:t xml:space="preserve">“CEO”</w:t>
      </w:r>
      <w:r>
        <w:t xml:space="preserve">; but it means</w:t>
      </w:r>
      <w:r>
        <w:t xml:space="preserve"> </w:t>
      </w:r>
      <w:r>
        <w:t xml:space="preserve">“coffee”</w:t>
      </w:r>
      <w:r>
        <w:t xml:space="preserve"> </w:t>
      </w:r>
      <w:r>
        <w:t xml:space="preserve">if you see words like</w:t>
      </w:r>
      <w:r>
        <w:t xml:space="preserve"> </w:t>
      </w:r>
      <w:r>
        <w:t xml:space="preserve">“$4.95”</w:t>
      </w:r>
      <w:r>
        <w:t xml:space="preserve"> </w:t>
      </w:r>
      <w:r>
        <w:t xml:space="preserve">or</w:t>
      </w:r>
      <w:r>
        <w:t xml:space="preserve"> </w:t>
      </w:r>
      <w:r>
        <w:t xml:space="preserve">“latte”</w:t>
      </w:r>
      <w:r>
        <w:t xml:space="preserve">. This won’t be perfect, but you can imagine how it could get to be pretty good if you train on enough text.</w:t>
      </w:r>
    </w:p>
    <w:bookmarkEnd w:id="24"/>
    <w:bookmarkStart w:id="25" w:name="statistics-of-words"/>
    <w:p>
      <w:pPr>
        <w:pStyle w:val="Heading2"/>
      </w:pPr>
      <w:r>
        <w:t xml:space="preserve">2.3 Statistics of Words</w:t>
      </w:r>
    </w:p>
    <w:p>
      <w:pPr>
        <w:pStyle w:val="FirstParagraph"/>
      </w:pPr>
      <w:r>
        <w:t xml:space="preserve">This system works because words aren’t laid out randomly. Languages constrain the way words can follow one another. There are grammatical rules that determine word order, and there are additional semantic rules that further constrain which sentences make sense.</w:t>
      </w:r>
      <w:r>
        <w:t xml:space="preserve"> </w:t>
      </w:r>
      <w:r>
        <w:t xml:space="preserve">“Colorless green ideas sleep furiously”</w:t>
      </w:r>
      <w:r>
        <w:t xml:space="preserve"> </w:t>
      </w:r>
      <w:r>
        <w:t xml:space="preserve">is a grammatically valid sentence, but it makes no semantic sense and is extremely unlikely to occur. You and I know these rules because we’ve been living in the real world for many years. A computer can deduce most of these rules statistically as you give it more data.</w:t>
      </w:r>
    </w:p>
    <w:p>
      <w:pPr>
        <w:pStyle w:val="BodyText"/>
      </w:pPr>
      <w:r>
        <w:t xml:space="preserve">The auto-completion feature, now ubiquitous in all word processors and mobile phones, is a simple application of the power of statistics combined with language. With any sized corpus, you’ll know with reasonable probability the likelihood that a particular word will follow another word. Interestingly, you can do this in any human language without even knowing about that language – the probabilities of word order come automatically from the sample sentences you have from that language.</w:t>
      </w:r>
    </w:p>
    <w:p>
      <w:pPr>
        <w:pStyle w:val="BodyText"/>
      </w:pPr>
      <w:r>
        <w:t xml:space="preserve">Now go a step above auto-completion and allow for completion at the sentence level, or even the paragraphs or chapters. Given a large enough corpus of quality sentences, you could probably guess with greater-than-chance probability the kinds of sentences and paragraphs that should follow a given set of sentences. Of course it won’t be perfect, but already you’d be getting an uncanny level of sophistication.</w:t>
      </w:r>
    </w:p>
    <w:p>
      <w:pPr>
        <w:pStyle w:val="BodyText"/>
      </w:pPr>
      <w:r>
        <w:t xml:space="preserve">Pair this autocompletion capability with the work you’ve done with semantic labeling. And maybe go really big, and do this with even more meta-information you might have about each corpus. A Wikipedia entry, for example, knows that it’s about a person or a place. You know which entries link to one another. You know the same about Reddit, and about web pages. With enough training, you could probably get the computer to easily classify a given paragraph into various categories: this piece is fiction, that one is medical, here’s one that’s from a biography, etc., etc.</w:t>
      </w:r>
    </w:p>
    <w:p>
      <w:pPr>
        <w:pStyle w:val="BodyText"/>
      </w:pPr>
      <w:r>
        <w:t xml:space="preserve">Once you have a model of relationships that can identify the type of content, you can go the other direction: given a few snippets of one known form of content (biography, medical, etc.),</w:t>
      </w:r>
      <w:r>
        <w:t xml:space="preserve"> </w:t>
      </w:r>
      <w:r>
        <w:t xml:space="preserve">“auto-complete”</w:t>
      </w:r>
      <w:r>
        <w:t xml:space="preserve"> </w:t>
      </w:r>
      <w:r>
        <w:t xml:space="preserve">with more content of the same kind.</w:t>
      </w:r>
    </w:p>
    <w:p>
      <w:pPr>
        <w:pStyle w:val="BodyText"/>
      </w:pPr>
      <w:r>
        <w:t xml:space="preserve">This is an extremely simplified summary of what’s happening, but you can imagine how with some effort you could make this fairly sophisticated. In fact, at some level isn’t that what we humans are already doing. If your teacher or boss asks you to write a report about something, you are taking everything you’ve seen previously about the subject and generating more of it, preferably in a pattern that fits what the teacher or boss is expecting.</w:t>
      </w:r>
    </w:p>
    <w:p>
      <w:pPr>
        <w:pStyle w:val="BodyText"/>
      </w:pPr>
      <w:r>
        <w:t xml:space="preserve">Some people are very good at this: take what you heard from various other sources and summarize it into a new format.</w:t>
      </w:r>
    </w:p>
    <w:p>
      <w:pPr>
        <w:pStyle w:val="BodyText"/>
      </w:pPr>
      <w:r>
        <w:t xml:space="preserve">“List five things wrong with this business plan”</w:t>
      </w:r>
      <w:r>
        <w:t xml:space="preserve">, you don’t necessarily need to</w:t>
      </w:r>
      <w:r>
        <w:t xml:space="preserve"> </w:t>
      </w:r>
      <w:r>
        <w:rPr>
          <w:i/>
          <w:iCs/>
        </w:rPr>
        <w:t xml:space="preserve">understand</w:t>
      </w:r>
      <w:r>
        <w:t xml:space="preserve"> </w:t>
      </w:r>
      <w:r>
        <w:t xml:space="preserve">the contents. If you’re good enough at re-applying patterns you’ve seen from similar projects, you’ll instinctively throw out a few tropes that have worked for you in the past.</w:t>
      </w:r>
      <w:r>
        <w:t xml:space="preserve"> </w:t>
      </w:r>
      <w:r>
        <w:t xml:space="preserve">“The plan doesn’t say enough about the competition”</w:t>
      </w:r>
      <w:r>
        <w:t xml:space="preserve">,</w:t>
      </w:r>
      <w:r>
        <w:t xml:space="preserve"> </w:t>
      </w:r>
      <w:r>
        <w:t xml:space="preserve">“the sales projections don’t take X and Y into account”</w:t>
      </w:r>
      <w:r>
        <w:t xml:space="preserve">,</w:t>
      </w:r>
      <w:r>
        <w:t xml:space="preserve"> </w:t>
      </w:r>
      <w:r>
        <w:t xml:space="preserve">“How can you be sure you’ll be able to hire the right people”</w:t>
      </w:r>
      <w:r>
        <w:t xml:space="preserve">. There are thousands, maybe</w:t>
      </w:r>
      <w:r>
        <w:t xml:space="preserve"> </w:t>
      </w:r>
      <w:r>
        <w:rPr>
          <w:i/>
          <w:iCs/>
        </w:rPr>
        <w:t xml:space="preserve">hundreds of thousands</w:t>
      </w:r>
      <w:r>
        <w:t xml:space="preserve"> </w:t>
      </w:r>
      <w:r>
        <w:t xml:space="preserve">of books and articles that include these patterns, so you can imagine that with a little tuning a computer could get to be pretty good too.</w:t>
      </w:r>
    </w:p>
    <w:bookmarkEnd w:id="25"/>
    <w:bookmarkStart w:id="28" w:name="fine-tuning-the-output"/>
    <w:p>
      <w:pPr>
        <w:pStyle w:val="Heading2"/>
      </w:pPr>
      <w:r>
        <w:t xml:space="preserve">2.4 Fine-tuning the output</w:t>
      </w:r>
    </w:p>
    <w:p>
      <w:pPr>
        <w:pStyle w:val="FirstParagraph"/>
      </w:pPr>
      <w:r>
        <w:t xml:space="preserve">Despite their impressive capabilities, raw language models often generate responses that are technically correct but practically useless. The key challenge lies not in generating text, but in producing output that aligns with human expectations and values.</w:t>
      </w:r>
    </w:p>
    <w:p>
      <w:pPr>
        <w:pStyle w:val="BodyText"/>
      </w:pPr>
      <w:r>
        <w:t xml:space="preserve">Consider how a language model might handle the prompt</w:t>
      </w:r>
      <w:r>
        <w:t xml:space="preserve"> </w:t>
      </w:r>
      <w:r>
        <w:t xml:space="preserve">“How do I make money quickly?”</w:t>
      </w:r>
      <w:r>
        <w:t xml:space="preserve"> </w:t>
      </w:r>
      <w:r>
        <w:t xml:space="preserve">Without fine-tuning, it might suggest illegal schemes or unrealistic get-rich-quick schemes alongside legitimate business advice. The model is simply completing the text based on patterns it has seen, with no understanding of ethics or practicality.</w:t>
      </w:r>
    </w:p>
    <w:p>
      <w:pPr>
        <w:pStyle w:val="BodyText"/>
      </w:pPr>
      <w:r>
        <w:t xml:space="preserve">This is where fine-tuning becomes crucial. The process involves three key approaches:</w:t>
      </w:r>
    </w:p>
    <w:p>
      <w:pPr>
        <w:pStyle w:val="BodyText"/>
      </w:pPr>
      <w:r>
        <w:t xml:space="preserve">Reinforcement learning works by assigning scores to different outputs and adjusting the model’s parameters to favor higher-scoring responses. For example, responses suggesting legitimate business opportunities would receive higher scores than those promoting scams. The model gradually learns to generate more appropriate suggestions.</w:t>
      </w:r>
    </w:p>
    <w:p>
      <w:pPr>
        <w:pStyle w:val="BodyText"/>
      </w:pPr>
      <w:r>
        <w:t xml:space="preserve">RLHF (Reinforcement Learning with Human Feedback)</w:t>
      </w:r>
      <w:r>
        <w:rPr>
          <w:rStyle w:val="FootnoteReference"/>
        </w:rPr>
        <w:footnoteReference w:id="26"/>
      </w:r>
      <w:r>
        <w:t xml:space="preserve"> </w:t>
      </w:r>
      <w:r>
        <w:t xml:space="preserve">adds human judgment to this process. When developing ChatGPT, OpenAI presented human raters with multiple responses to the same prompt. Raters evaluated responses based on helpfulness, truthfulness, and potential harm. This feedback was then used to further train the model.</w:t>
      </w:r>
    </w:p>
    <w:p>
      <w:pPr>
        <w:pStyle w:val="BodyText"/>
      </w:pPr>
      <w:r>
        <w:t xml:space="preserve">RLAIF (Reinforcement Learning with AI Feedback) attempts to scale this process by using AI systems to evaluate outputs. While more scalable than human feedback, this approach faces a fundamental challenge: how can an AI system evaluate responses without understanding human values and context?</w:t>
      </w:r>
    </w:p>
    <w:p>
      <w:pPr>
        <w:pStyle w:val="BodyText"/>
      </w:pPr>
      <w:r>
        <w:t xml:space="preserve">The limitations of AI feedback become apparent in complex scenarios. Consider a medical chatbot trained using RLAIF. The AI evaluator might approve responses that are technically accurate but miss crucial context or nuance that a human doctor would catch. A response suggesting common flu treatments might be technically correct but dangerously incomplete if the patient has mentioned symptoms of a more serious condition.</w:t>
      </w:r>
    </w:p>
    <w:p>
      <w:pPr>
        <w:pStyle w:val="BodyText"/>
      </w:pPr>
      <w:r>
        <w:t xml:space="preserve">This reveals a deeper issue with language models: they can’t truly understand the implications of their outputs. They operate through pattern recognition rather than comprehension. When the model suggests</w:t>
      </w:r>
      <w:r>
        <w:t xml:space="preserve"> </w:t>
      </w:r>
      <w:r>
        <w:t xml:space="preserve">“Take aspirin for your headache,”</w:t>
      </w:r>
      <w:r>
        <w:t xml:space="preserve"> </w:t>
      </w:r>
      <w:r>
        <w:t xml:space="preserve">it’s not actually giving medical advice – it’s predicting what words commonly follow</w:t>
      </w:r>
      <w:r>
        <w:t xml:space="preserve"> </w:t>
      </w:r>
      <w:r>
        <w:t xml:space="preserve">“Take ___ for your headache”</w:t>
      </w:r>
      <w:r>
        <w:t xml:space="preserve"> </w:t>
      </w:r>
      <w:r>
        <w:t xml:space="preserve">in its training data.</w:t>
      </w:r>
    </w:p>
    <w:p>
      <w:pPr>
        <w:pStyle w:val="BodyText"/>
      </w:pPr>
      <w:r>
        <w:t xml:space="preserve">Fine-tuning can mitigate these limitations but never fully eliminate them. Each approach comes with tradeoffs:</w:t>
      </w:r>
    </w:p>
    <w:p>
      <w:pPr>
        <w:pStyle w:val="BodyText"/>
      </w:pPr>
      <w:r>
        <w:t xml:space="preserve">Traditional reinforcement learning excels at optimizing for specific, measurable metrics but struggles with subjective qualities like helpfulness or creativity. A model trained to maximize engagement might generate controversial or sensational content rather than accurate, balanced information.</w:t>
      </w:r>
    </w:p>
    <w:p>
      <w:pPr>
        <w:pStyle w:val="BodyText"/>
      </w:pPr>
      <w:r>
        <w:t xml:space="preserve">RLHF produces more nuanced, socially aware responses but faces scaling challenges. Human evaluators are expensive and can introduce their own biases. Different evaluators might have conflicting views on what constitutes a</w:t>
      </w:r>
      <w:r>
        <w:t xml:space="preserve"> </w:t>
      </w:r>
      <w:r>
        <w:t xml:space="preserve">“good”</w:t>
      </w:r>
      <w:r>
        <w:t xml:space="preserve"> </w:t>
      </w:r>
      <w:r>
        <w:t xml:space="preserve">response, especially for controversial topics.</w:t>
      </w:r>
    </w:p>
    <w:p>
      <w:pPr>
        <w:pStyle w:val="BodyText"/>
      </w:pPr>
      <w:r>
        <w:t xml:space="preserve">RLAIF attempts to bridge this gap but inherits the fundamental limitations of AI systems. An AI evaluator might approve responses that are syntactically perfect but semantically nonsensical, or miss subtle forms of bias that human evaluators would catch.</w:t>
      </w:r>
    </w:p>
    <w:p>
      <w:pPr>
        <w:pStyle w:val="BodyText"/>
      </w:pPr>
      <w:r>
        <w:t xml:space="preserve">These challenges explain why even advanced language models occasionally produce responses that are simultaneously impressive and problematic. They might generate perfectly formatted code that contains subtle security vulnerabilities, or write eloquent essays that include factual inaccuracies.</w:t>
      </w:r>
    </w:p>
    <w:p>
      <w:pPr>
        <w:pStyle w:val="BodyText"/>
      </w:pPr>
      <w:r>
        <w:t xml:space="preserve">Understanding these limitations is crucial for anyone implementing AI systems. The goal of fine-tuning isn’t to create perfect responses, but to make the model’s limitations predictable and manageable. This often means designing systems where AI augments rather than replaces human judgment.</w:t>
      </w:r>
    </w:p>
    <w:p>
      <w:pPr>
        <w:pStyle w:val="BodyText"/>
      </w:pPr>
      <w:r>
        <w:t xml:space="preserve">Consider how JPMorgan uses AI in its risk assessment processes. Rather than relying solely on AI-generated analysis, they use fine-tuned models to flag potential issues for human review. The AI processes vast amounts of data to identify patterns, but final decisions remain with human analysts who can consider broader context and implications.</w:t>
      </w:r>
    </w:p>
    <w:p>
      <w:pPr>
        <w:pStyle w:val="BodyText"/>
      </w:pPr>
      <w:r>
        <w:t xml:space="preserve">This hybrid approach acknowledges both the power and limitations of fine-tuned models. The AI excels at pattern recognition and data processing, while humans provide judgment and context. The result is more effective than either could achieve alone.</w:t>
      </w:r>
    </w:p>
    <w:bookmarkEnd w:id="28"/>
    <w:bookmarkStart w:id="29" w:name="wisdom-of-the-crowds"/>
    <w:p>
      <w:pPr>
        <w:pStyle w:val="Heading2"/>
      </w:pPr>
      <w:r>
        <w:t xml:space="preserve">2.5 Wisdom of the crowds</w:t>
      </w:r>
    </w:p>
    <w:p>
      <w:pPr>
        <w:pStyle w:val="FirstParagraph"/>
      </w:pPr>
      <w:r>
        <w:t xml:space="preserve">An LLM is sampling from an unimaginably complex mathematical model of the distribution of human words – essentially a wisdom of crowds effect that distills the collective output of humanity in a statistical way.</w:t>
      </w:r>
    </w:p>
    <w:p>
      <w:r>
        <w:pict>
          <v:rect style="width:0;height:1.5pt" o:hralign="center" o:hrstd="t" o:hr="t"/>
        </w:pict>
      </w:r>
    </w:p>
    <w:bookmarkEnd w:id="29"/>
    <w:bookmarkStart w:id="49" w:name="where-do-you-get-the-documents"/>
    <w:p>
      <w:pPr>
        <w:pStyle w:val="Heading2"/>
      </w:pPr>
      <w:r>
        <w:t xml:space="preserve">2.6 Where do you get the documents</w:t>
      </w:r>
    </w:p>
    <w:p>
      <w:pPr>
        <w:pStyle w:val="FirstParagraph"/>
      </w:pPr>
      <w:r>
        <w:t xml:space="preserve">OpenAI gets its documents from more than 200 million documents, 93% of which are in English, that are selected to be representative of a broad space of human knowledge.</w:t>
      </w:r>
    </w:p>
    <w:p>
      <w:pPr>
        <w:pStyle w:val="BodyText"/>
      </w:pPr>
      <w:r>
        <w:t xml:space="preserve">Of course it starts with Wikipedia: almost 6 million articles.</w:t>
      </w:r>
    </w:p>
    <w:p>
      <w:pPr>
        <w:pStyle w:val="BodyText"/>
      </w:pPr>
      <w:r>
        <w:t xml:space="preserve">One set of words comes from</w:t>
      </w:r>
      <w:r>
        <w:t xml:space="preserve"> </w:t>
      </w:r>
      <w:hyperlink r:id="rId30">
        <w:r>
          <w:rPr>
            <w:rStyle w:val="Hyperlink"/>
          </w:rPr>
          <w:t xml:space="preserve">Common Crawl:</w:t>
        </w:r>
      </w:hyperlink>
      <w:r>
        <w:t xml:space="preserve"> </w:t>
      </w:r>
      <w:r>
        <w:t xml:space="preserve">a large, public-domain dataset of millions of web pages.</w:t>
      </w:r>
    </w:p>
    <w:p>
      <w:pPr>
        <w:pStyle w:val="BodyText"/>
      </w:pPr>
      <w:r>
        <w:t xml:space="preserve">Another is a proprietary corpus called</w:t>
      </w:r>
      <w:r>
        <w:t xml:space="preserve"> </w:t>
      </w:r>
      <w:r>
        <w:rPr>
          <w:i/>
          <w:iCs/>
        </w:rPr>
        <w:t xml:space="preserve">WebText2</w:t>
      </w:r>
      <w:r>
        <w:t xml:space="preserve"> </w:t>
      </w:r>
      <w:r>
        <w:t xml:space="preserve">of more than 8 million documents made by scraping particularly high-quality web documents, such as those that are highly-upranked on Reddit.</w:t>
      </w:r>
    </w:p>
    <w:p>
      <w:pPr>
        <w:pStyle w:val="BodyText"/>
      </w:pPr>
      <w:r>
        <w:t xml:space="preserve">Two proprietary datasets, known as</w:t>
      </w:r>
      <w:r>
        <w:t xml:space="preserve"> </w:t>
      </w:r>
      <w:r>
        <w:rPr>
          <w:i/>
          <w:iCs/>
        </w:rPr>
        <w:t xml:space="preserve">Books1</w:t>
      </w:r>
      <w:r>
        <w:t xml:space="preserve"> </w:t>
      </w:r>
      <w:r>
        <w:t xml:space="preserve">and</w:t>
      </w:r>
      <w:r>
        <w:t xml:space="preserve"> </w:t>
      </w:r>
      <w:r>
        <w:rPr>
          <w:i/>
          <w:iCs/>
        </w:rPr>
        <w:t xml:space="preserve">Books2</w:t>
      </w:r>
      <w:r>
        <w:t xml:space="preserve"> </w:t>
      </w:r>
      <w:r>
        <w:t xml:space="preserve">contain tens of thousands of published books. These datasets include classic literature, such as works by Shakespeare, Jane Austen, and Charles Dickens, as well as modern works of fiction and non-fiction, such as the Harry Potter series, The Da Vinci Code, and The Hunger Games.</w:t>
      </w:r>
      <w:r>
        <w:rPr>
          <w:rStyle w:val="FootnoteReference"/>
        </w:rPr>
        <w:footnoteReference w:id="31"/>
      </w:r>
      <w:r>
        <w:t xml:space="preserve"> </w:t>
      </w:r>
      <w:r>
        <w:t xml:space="preserve">There are also many other books on a variety of topics, including science, history, politics, and philosophy.</w:t>
      </w:r>
    </w:p>
    <w:p>
      <w:pPr>
        <w:pStyle w:val="BlockText"/>
      </w:pPr>
      <w:r>
        <w:t xml:space="preserve">Also high on the list: b-ok.org No. 190, a notorious market for pirated e-books that has since been seized by the U.S. Justice Department. At least 27 other sites identified</w:t>
      </w:r>
      <w:r>
        <w:t xml:space="preserve"> </w:t>
      </w:r>
      <w:hyperlink r:id="rId33">
        <w:r>
          <w:rPr>
            <w:rStyle w:val="Hyperlink"/>
          </w:rPr>
          <w:t xml:space="preserve">by the U.S. government</w:t>
        </w:r>
      </w:hyperlink>
      <w:r>
        <w:t xml:space="preserve"> </w:t>
      </w:r>
      <w:r>
        <w:t xml:space="preserve">as markets for piracy and counterfeits were present in the data set.</w:t>
      </w:r>
    </w:p>
    <w:p>
      <w:pPr>
        <w:pStyle w:val="FirstParagraph"/>
      </w:pPr>
      <w:r>
        <w:t xml:space="preserve">Washington Post has</w:t>
      </w:r>
      <w:r>
        <w:t xml:space="preserve"> </w:t>
      </w:r>
      <w:hyperlink r:id="rId34">
        <w:r>
          <w:rPr>
            <w:rStyle w:val="Hyperlink"/>
          </w:rPr>
          <w:t xml:space="preserve">an interactive graphic</w:t>
        </w:r>
      </w:hyperlink>
      <w:r>
        <w:t xml:space="preserve"> </w:t>
      </w:r>
      <w:r>
        <w:t xml:space="preserve">that digs into more detail. (Also discussed on</w:t>
      </w:r>
      <w:r>
        <w:t xml:space="preserve"> </w:t>
      </w:r>
      <w:hyperlink r:id="rId35">
        <w:r>
          <w:rPr>
            <w:rStyle w:val="Hyperlink"/>
          </w:rPr>
          <w:t xml:space="preserve">HN</w:t>
        </w:r>
      </w:hyperlink>
      <w:r>
        <w:t xml:space="preserve">)</w:t>
      </w:r>
    </w:p>
    <w:p>
      <w:pPr>
        <w:pStyle w:val="BodyText"/>
      </w:pPr>
      <w:r>
        <w:t xml:space="preserve">Yes, they crawl me:</w:t>
      </w:r>
    </w:p>
    <w:p>
      <w:pPr>
        <w:pStyle w:val="CaptionedFigure"/>
      </w:pPr>
      <w:r>
        <w:drawing>
          <wp:inline>
            <wp:extent cx="5943600" cy="1651465"/>
            <wp:effectExtent b="0" l="0" r="0" t="0"/>
            <wp:docPr descr="blog.richardsprague.com tokens on Google’s C4 dataset" title="" id="37" name="Picture"/>
            <a:graphic>
              <a:graphicData uri="http://schemas.openxmlformats.org/drawingml/2006/picture">
                <pic:pic>
                  <pic:nvPicPr>
                    <pic:cNvPr descr="_resources/images/Ch02-images/LLMblogrichardspragueC4data.png" id="38" name="Picture"/>
                    <pic:cNvPicPr>
                      <a:picLocks noChangeArrowheads="1" noChangeAspect="1"/>
                    </pic:cNvPicPr>
                  </pic:nvPicPr>
                  <pic:blipFill>
                    <a:blip r:embed="rId36"/>
                    <a:stretch>
                      <a:fillRect/>
                    </a:stretch>
                  </pic:blipFill>
                  <pic:spPr bwMode="auto">
                    <a:xfrm>
                      <a:off x="0" y="0"/>
                      <a:ext cx="5943600" cy="1651465"/>
                    </a:xfrm>
                    <a:prstGeom prst="rect">
                      <a:avLst/>
                    </a:prstGeom>
                    <a:noFill/>
                    <a:ln w="9525">
                      <a:noFill/>
                      <a:headEnd/>
                      <a:tailEnd/>
                    </a:ln>
                  </pic:spPr>
                </pic:pic>
              </a:graphicData>
            </a:graphic>
          </wp:inline>
        </w:drawing>
      </w:r>
    </w:p>
    <w:p>
      <w:pPr>
        <w:pStyle w:val="ImageCaption"/>
      </w:pPr>
      <w:r>
        <w:t xml:space="preserve">blog.richardsprague.com tokens on Google’s C4 dataset</w:t>
      </w:r>
    </w:p>
    <w:p>
      <w:pPr>
        <w:pStyle w:val="CaptionedFigure"/>
      </w:pPr>
      <w:r>
        <w:drawing>
          <wp:inline>
            <wp:extent cx="5943600" cy="2260384"/>
            <wp:effectExtent b="0" l="0" r="0" t="0"/>
            <wp:docPr descr="richardsprague.com tokens on Google’s C4 dataset" title="" id="40" name="Picture"/>
            <a:graphic>
              <a:graphicData uri="http://schemas.openxmlformats.org/drawingml/2006/picture">
                <pic:pic>
                  <pic:nvPicPr>
                    <pic:cNvPr descr="_resources/images/Ch02-images/LLMrichardspragueC4.png" id="41" name="Picture"/>
                    <pic:cNvPicPr>
                      <a:picLocks noChangeArrowheads="1" noChangeAspect="1"/>
                    </pic:cNvPicPr>
                  </pic:nvPicPr>
                  <pic:blipFill>
                    <a:blip r:embed="rId39"/>
                    <a:stretch>
                      <a:fillRect/>
                    </a:stretch>
                  </pic:blipFill>
                  <pic:spPr bwMode="auto">
                    <a:xfrm>
                      <a:off x="0" y="0"/>
                      <a:ext cx="5943600" cy="2260384"/>
                    </a:xfrm>
                    <a:prstGeom prst="rect">
                      <a:avLst/>
                    </a:prstGeom>
                    <a:noFill/>
                    <a:ln w="9525">
                      <a:noFill/>
                      <a:headEnd/>
                      <a:tailEnd/>
                    </a:ln>
                  </pic:spPr>
                </pic:pic>
              </a:graphicData>
            </a:graphic>
          </wp:inline>
        </w:drawing>
      </w:r>
    </w:p>
    <w:p>
      <w:pPr>
        <w:pStyle w:val="ImageCaption"/>
      </w:pPr>
      <w:r>
        <w:t xml:space="preserve">richardsprague.com tokens on Google’s C4 dataset</w:t>
      </w:r>
    </w:p>
    <w:p>
      <w:pPr>
        <w:pStyle w:val="CaptionedFigure"/>
      </w:pPr>
      <w:r>
        <w:drawing>
          <wp:inline>
            <wp:extent cx="5943600" cy="1296035"/>
            <wp:effectExtent b="0" l="0" r="0" t="0"/>
            <wp:docPr descr="psm.personalscience.com tokens on Google’s C4 dataset" title="" id="43" name="Picture"/>
            <a:graphic>
              <a:graphicData uri="http://schemas.openxmlformats.org/drawingml/2006/picture">
                <pic:pic>
                  <pic:nvPicPr>
                    <pic:cNvPr descr="_resources/images/Ch02-images/LLMpsmpersonalscience.png" id="44" name="Picture"/>
                    <pic:cNvPicPr>
                      <a:picLocks noChangeArrowheads="1" noChangeAspect="1"/>
                    </pic:cNvPicPr>
                  </pic:nvPicPr>
                  <pic:blipFill>
                    <a:blip r:embed="rId42"/>
                    <a:stretch>
                      <a:fillRect/>
                    </a:stretch>
                  </pic:blipFill>
                  <pic:spPr bwMode="auto">
                    <a:xfrm>
                      <a:off x="0" y="0"/>
                      <a:ext cx="5943600" cy="1296035"/>
                    </a:xfrm>
                    <a:prstGeom prst="rect">
                      <a:avLst/>
                    </a:prstGeom>
                    <a:noFill/>
                    <a:ln w="9525">
                      <a:noFill/>
                      <a:headEnd/>
                      <a:tailEnd/>
                    </a:ln>
                  </pic:spPr>
                </pic:pic>
              </a:graphicData>
            </a:graphic>
          </wp:inline>
        </w:drawing>
      </w:r>
    </w:p>
    <w:p>
      <w:pPr>
        <w:pStyle w:val="ImageCaption"/>
      </w:pPr>
      <w:r>
        <w:t xml:space="preserve">psm.personalscience.com tokens on Google’s C4 dataset</w:t>
      </w:r>
    </w:p>
    <w:p>
      <w:pPr>
        <w:pStyle w:val="BodyText"/>
      </w:pPr>
      <w:r>
        <w:t xml:space="preserve">from</w:t>
      </w:r>
      <w:r>
        <w:t xml:space="preserve"> </w:t>
      </w:r>
      <w:hyperlink r:id="rId45">
        <w:r>
          <w:rPr>
            <w:rStyle w:val="Hyperlink"/>
          </w:rPr>
          <w:t xml:space="preserve">NYTimes</w:t>
        </w:r>
      </w:hyperlink>
    </w:p>
    <w:p>
      <w:pPr>
        <w:pStyle w:val="CaptionedFigure"/>
      </w:pPr>
      <w:r>
        <w:drawing>
          <wp:inline>
            <wp:extent cx="5943600" cy="5428083"/>
            <wp:effectExtent b="0" l="0" r="0" t="0"/>
            <wp:docPr descr="GPT-3 Data Sources" title="" id="47" name="Picture"/>
            <a:graphic>
              <a:graphicData uri="http://schemas.openxmlformats.org/drawingml/2006/picture">
                <pic:pic>
                  <pic:nvPicPr>
                    <pic:cNvPr descr="_resources/images/Ch02-images/OpenAITrainingDataNYTimesChart.png" id="48" name="Picture"/>
                    <pic:cNvPicPr>
                      <a:picLocks noChangeArrowheads="1" noChangeAspect="1"/>
                    </pic:cNvPicPr>
                  </pic:nvPicPr>
                  <pic:blipFill>
                    <a:blip r:embed="rId4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GPT-3 Data Sources</w:t>
      </w:r>
    </w:p>
    <w:p>
      <w:r>
        <w:pict>
          <v:rect style="width:0;height:1.5pt" o:hralign="center" o:hrstd="t" o:hr="t"/>
        </w:pict>
      </w:r>
    </w:p>
    <w:bookmarkEnd w:id="49"/>
    <w:bookmarkStart w:id="50" w:name="organizing-the-data"/>
    <w:p>
      <w:pPr>
        <w:pStyle w:val="Heading2"/>
      </w:pPr>
      <w:r>
        <w:t xml:space="preserve">2.7 Organizing the data</w:t>
      </w:r>
    </w:p>
    <w:p>
      <w:pPr>
        <w:pStyle w:val="FirstParagraph"/>
      </w:pPr>
      <w:r>
        <w:t xml:space="preserve">At the core of a transformer model is the idea that many of the intellectual tasks we humans do involves taking one sequence of tokens – words, numbers, programming instructions, etc. – and converting them into another sequence. Translation from one language to another is the classic case, but the insight at the heart of ChatGPT is that question-answering is another example. My question is a sequence of words and symbols like punctuation or numbers. If you append my question to, say, all the words in that huge OpenAI dataset, then you can</w:t>
      </w:r>
      <w:r>
        <w:t xml:space="preserve"> </w:t>
      </w:r>
      <w:r>
        <w:t xml:space="preserve">“answer”</w:t>
      </w:r>
      <w:r>
        <w:t xml:space="preserve"> </w:t>
      </w:r>
      <w:r>
        <w:t xml:space="preserve">my question by rearranging it along with some of the words in the dataset.</w:t>
      </w:r>
    </w:p>
    <w:p>
      <w:pPr>
        <w:pStyle w:val="BodyText"/>
      </w:pPr>
      <w:r>
        <w:t xml:space="preserve">The technique of rearranging one sequence into another is called Seq2Seq*.</w:t>
      </w:r>
    </w:p>
    <w:bookmarkEnd w:id="50"/>
    <w:bookmarkEnd w:id="51"/>
    <w:bookmarkStart w:id="79"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52"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r>
        <w:t xml:space="preserve"> </w:t>
      </w:r>
      <w:r>
        <w:t xml:space="preserve">- Financial analysts who knew how to build complex Excel models</w:t>
      </w:r>
      <w:r>
        <w:t xml:space="preserve"> </w:t>
      </w:r>
      <w:r>
        <w:t xml:space="preserve">- Software engineers who knew how to write code in specific languages</w:t>
      </w:r>
      <w:r>
        <w:t xml:space="preserve"> </w:t>
      </w:r>
      <w:r>
        <w:t xml:space="preserve">- Designers who knew how to use tools like Photoshop</w:t>
      </w:r>
      <w:r>
        <w:t xml:space="preserve"> </w:t>
      </w:r>
      <w:r>
        <w:t xml:space="preserve">- Writers who knew how to craft clear technical documentation</w:t>
      </w:r>
      <w:r>
        <w:t xml:space="preserve"> </w:t>
      </w:r>
      <w:r>
        <w:t xml:space="preserve">- Translators who knew how to convert text between languages</w:t>
      </w:r>
    </w:p>
    <w:p>
      <w:pPr>
        <w:pStyle w:val="BodyText"/>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52"/>
    <w:bookmarkStart w:id="53"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r>
        <w:t xml:space="preserve"> </w:t>
      </w:r>
      <w:r>
        <w:t xml:space="preserve">- ChatGPT can write basic code in multiple languages</w:t>
      </w:r>
      <w:r>
        <w:t xml:space="preserve"> </w:t>
      </w:r>
      <w:r>
        <w:t xml:space="preserve">- Midjourney can generate sophisticated images</w:t>
      </w:r>
      <w:r>
        <w:t xml:space="preserve"> </w:t>
      </w:r>
      <w:r>
        <w:t xml:space="preserve">- Translation tools are approaching human-level quality</w:t>
      </w:r>
      <w:r>
        <w:t xml:space="preserve"> </w:t>
      </w:r>
      <w:r>
        <w:t xml:space="preserve">- AI assistants can create presentations and documentation</w:t>
      </w:r>
    </w:p>
    <w:p>
      <w:pPr>
        <w:pStyle w:val="BodyText"/>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53"/>
    <w:bookmarkStart w:id="54"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r>
        <w:t xml:space="preserve"> </w:t>
      </w:r>
      <w:r>
        <w:t xml:space="preserve">- What problems are worth solving?</w:t>
      </w:r>
      <w:r>
        <w:t xml:space="preserve"> </w:t>
      </w:r>
      <w:r>
        <w:t xml:space="preserve">- What features should a product include?</w:t>
      </w:r>
      <w:r>
        <w:t xml:space="preserve"> </w:t>
      </w:r>
      <w:r>
        <w:t xml:space="preserve">- What markets should a company enter?</w:t>
      </w:r>
      <w:r>
        <w:t xml:space="preserve"> </w:t>
      </w:r>
      <w:r>
        <w:t xml:space="preserve">- What strategies will create sustainable advantages?</w:t>
      </w:r>
      <w:r>
        <w:t xml:space="preserve"> </w:t>
      </w:r>
      <w:r>
        <w:t xml:space="preserve">- What metrics matter most for success?</w:t>
      </w:r>
    </w:p>
    <w:p>
      <w:pPr>
        <w:pStyle w:val="BodyText"/>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w:t>
      </w:r>
      <w:r>
        <w:t xml:space="preserve">Humans can notice subtle patterns and draw insights across seemingly unrelated fields. A business leader might see parallels between consumer behavior in fashion and trends in enterprise software, leading to novel strategic insights. Current AI systems, despite their broad training, struggle to make these creative connections in meaningful ways.</w:t>
      </w:r>
    </w:p>
    <w:p>
      <w:pPr>
        <w:pStyle w:val="BodyText"/>
      </w:pPr>
      <w:r>
        <w:rPr>
          <w:b/>
          <w:bCs/>
        </w:rPr>
        <w:t xml:space="preserve">Judgment Under Uncertainty</w:t>
      </w:r>
      <w:r>
        <w:t xml:space="preserve"> </w:t>
      </w:r>
      <w:r>
        <w:t xml:space="preserve">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w:t>
      </w:r>
      <w:r>
        <w:t xml:space="preserve">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54"/>
    <w:bookmarkStart w:id="56"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55" w:name="book-writing-when-bulldozers-move-words"/>
    <w:p>
      <w:pPr>
        <w:pStyle w:val="Heading3"/>
      </w:pPr>
      <w:r>
        <w:t xml:space="preserve">3.4.1 Book-Writing: When Bulldozers Move Words</w:t>
      </w:r>
    </w:p>
    <w:p>
      <w:pPr>
        <w:pStyle w:val="FirstParagraph"/>
      </w:pPr>
      <w:r>
        <w:t xml:space="preserve">What’s the value of traditional books when ChatGPT can generate coherent answers to any question?</w:t>
      </w:r>
    </w:p>
    <w:p>
      <w:pPr>
        <w:pStyle w:val="BodyText"/>
      </w:pPr>
      <w:r>
        <w:t xml:space="preserve">The analogy of construction work helps illustrate the relationship between AI and human authorship.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Consider the process of learning chess. ChatGPT can explain rules, play practice games, and offer personalized instruction. Future versions might even customize the learning path based on individual aptitude and interests. 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1"/>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1"/>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1"/>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1"/>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future of authorship, like many professional fields, will belong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55"/>
    <w:bookmarkEnd w:id="56"/>
    <w:bookmarkStart w:id="60" w:name="more-examples"/>
    <w:p>
      <w:pPr>
        <w:pStyle w:val="Heading2"/>
      </w:pPr>
      <w:r>
        <w:t xml:space="preserve">3.5 More examples</w:t>
      </w:r>
    </w:p>
    <w:bookmarkStart w:id="57"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w:t>
      </w:r>
    </w:p>
    <w:p>
      <w:pPr>
        <w:pStyle w:val="BodyText"/>
      </w:pPr>
      <w:r>
        <w:t xml:space="preserve">This suggests that software development is entering a new phase where success depends on effectively combining AI capabilities with human insight. The future belongs not to those who can code fastest, but to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7"/>
    <w:bookmarkStart w:id="58"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Just as automation didn’t eliminate the need for skilled manufacturing workers but changed their role, AI won’t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The future belongs not to those who can process data fastest, but to those who can best understand business fundamentals while using AI to implement that understanding efficiently and reliably.</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8"/>
    <w:bookmarkStart w:id="59"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Just as effective quality control requires understanding how products will be used in real-world conditions,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Just as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Just as automation didn’t eliminate the need for skilled quality control technicians but changed their role, AI won’t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Just as quality control requires human oversight despite advanced inspection technology,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The future belongs not to those who can recall the most medical facts, but to those who can best understand patient needs while using AI to implement that understanding efficiently and safely.</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9"/>
    <w:bookmarkEnd w:id="60"/>
    <w:bookmarkStart w:id="61"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r>
        <w:t xml:space="preserve"> </w:t>
      </w:r>
      <w:r>
        <w:t xml:space="preserve">- Companies that help humans make better</w:t>
      </w:r>
      <w:r>
        <w:t xml:space="preserve"> </w:t>
      </w:r>
      <w:r>
        <w:t xml:space="preserve">“what”</w:t>
      </w:r>
      <w:r>
        <w:t xml:space="preserve"> </w:t>
      </w:r>
      <w:r>
        <w:t xml:space="preserve">decisions</w:t>
      </w:r>
      <w:r>
        <w:t xml:space="preserve"> </w:t>
      </w:r>
      <w:r>
        <w:t xml:space="preserve">- Tools that augment human judgment rather than replace it</w:t>
      </w:r>
      <w:r>
        <w:t xml:space="preserve"> </w:t>
      </w:r>
      <w:r>
        <w:t xml:space="preserve">- Platforms that combine AI capabilities with human insight</w:t>
      </w:r>
      <w:r>
        <w:t xml:space="preserve"> </w:t>
      </w:r>
      <w:r>
        <w:t xml:space="preserve">- Businesses with strong human judgment at their core</w:t>
      </w:r>
    </w:p>
    <w:p>
      <w:pPr>
        <w:pStyle w:val="BodyText"/>
      </w:pPr>
      <w:r>
        <w:rPr>
          <w:b/>
          <w:bCs/>
        </w:rPr>
        <w:t xml:space="preserve">Losers</w:t>
      </w:r>
      <w:r>
        <w:t xml:space="preserve">:</w:t>
      </w:r>
      <w:r>
        <w:t xml:space="preserve"> </w:t>
      </w:r>
      <w:r>
        <w:t xml:space="preserve">- Pure automation plays that don’t preserve human judgment</w:t>
      </w:r>
      <w:r>
        <w:t xml:space="preserve"> </w:t>
      </w:r>
      <w:r>
        <w:t xml:space="preserve">- Companies selling commoditized</w:t>
      </w:r>
      <w:r>
        <w:t xml:space="preserve"> </w:t>
      </w:r>
      <w:r>
        <w:t xml:space="preserve">“how”</w:t>
      </w:r>
      <w:r>
        <w:t xml:space="preserve"> </w:t>
      </w:r>
      <w:r>
        <w:t xml:space="preserve">skills</w:t>
      </w:r>
      <w:r>
        <w:t xml:space="preserve"> </w:t>
      </w:r>
      <w:r>
        <w:t xml:space="preserve">- Businesses that can’t articulate their human advantage</w:t>
      </w:r>
    </w:p>
    <w:bookmarkEnd w:id="61"/>
    <w:bookmarkStart w:id="62"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2"/>
        </w:numPr>
      </w:pPr>
      <w:r>
        <w:t xml:space="preserve">Flatter hierarchies as AI handles routine coordination</w:t>
      </w:r>
    </w:p>
    <w:p>
      <w:pPr>
        <w:pStyle w:val="Compact"/>
        <w:numPr>
          <w:ilvl w:val="0"/>
          <w:numId w:val="1002"/>
        </w:numPr>
      </w:pPr>
      <w:r>
        <w:t xml:space="preserve">Smaller, more senior teams focused on</w:t>
      </w:r>
      <w:r>
        <w:t xml:space="preserve"> </w:t>
      </w:r>
      <w:r>
        <w:t xml:space="preserve">“what”</w:t>
      </w:r>
      <w:r>
        <w:t xml:space="preserve"> </w:t>
      </w:r>
      <w:r>
        <w:t xml:space="preserve">decisions</w:t>
      </w:r>
    </w:p>
    <w:p>
      <w:pPr>
        <w:pStyle w:val="Compact"/>
        <w:numPr>
          <w:ilvl w:val="0"/>
          <w:numId w:val="1002"/>
        </w:numPr>
      </w:pPr>
      <w:r>
        <w:t xml:space="preserve">Greater emphasis on judgment and strategic thinking</w:t>
      </w:r>
    </w:p>
    <w:p>
      <w:pPr>
        <w:pStyle w:val="FirstParagraph"/>
      </w:pPr>
      <w:r>
        <w:rPr>
          <w:b/>
          <w:bCs/>
        </w:rPr>
        <w:t xml:space="preserve">Changed Skill Requirements</w:t>
      </w:r>
    </w:p>
    <w:p>
      <w:pPr>
        <w:pStyle w:val="Compact"/>
        <w:numPr>
          <w:ilvl w:val="0"/>
          <w:numId w:val="1003"/>
        </w:numPr>
      </w:pPr>
      <w:r>
        <w:t xml:space="preserve">Less focus on technical tool proficiency</w:t>
      </w:r>
    </w:p>
    <w:p>
      <w:pPr>
        <w:pStyle w:val="Compact"/>
        <w:numPr>
          <w:ilvl w:val="0"/>
          <w:numId w:val="1003"/>
        </w:numPr>
      </w:pPr>
      <w:r>
        <w:t xml:space="preserve">More emphasis on strategic thinking and judgment</w:t>
      </w:r>
    </w:p>
    <w:p>
      <w:pPr>
        <w:pStyle w:val="Compact"/>
        <w:numPr>
          <w:ilvl w:val="0"/>
          <w:numId w:val="1003"/>
        </w:numPr>
      </w:pPr>
      <w:r>
        <w:t xml:space="preserve">Greater value placed on cross-domain knowledge</w:t>
      </w:r>
    </w:p>
    <w:p>
      <w:pPr>
        <w:pStyle w:val="FirstParagraph"/>
      </w:pPr>
      <w:r>
        <w:rPr>
          <w:b/>
          <w:bCs/>
        </w:rPr>
        <w:t xml:space="preserve">Modified Training Approaches</w:t>
      </w:r>
    </w:p>
    <w:p>
      <w:pPr>
        <w:pStyle w:val="Compact"/>
        <w:numPr>
          <w:ilvl w:val="0"/>
          <w:numId w:val="1004"/>
        </w:numPr>
      </w:pPr>
      <w:r>
        <w:t xml:space="preserve">Reduced time spent teaching technical</w:t>
      </w:r>
      <w:r>
        <w:t xml:space="preserve"> </w:t>
      </w:r>
      <w:r>
        <w:t xml:space="preserve">“how”</w:t>
      </w:r>
      <w:r>
        <w:t xml:space="preserve"> </w:t>
      </w:r>
      <w:r>
        <w:t xml:space="preserve">skills</w:t>
      </w:r>
    </w:p>
    <w:p>
      <w:pPr>
        <w:pStyle w:val="Compact"/>
        <w:numPr>
          <w:ilvl w:val="0"/>
          <w:numId w:val="1004"/>
        </w:numPr>
      </w:pPr>
      <w:r>
        <w:t xml:space="preserve">Increased focus on judgment development</w:t>
      </w:r>
    </w:p>
    <w:p>
      <w:pPr>
        <w:pStyle w:val="Compact"/>
        <w:numPr>
          <w:ilvl w:val="0"/>
          <w:numId w:val="1004"/>
        </w:numPr>
      </w:pPr>
      <w:r>
        <w:t xml:space="preserve">More emphasis on understanding human factors</w:t>
      </w:r>
    </w:p>
    <w:bookmarkEnd w:id="62"/>
    <w:bookmarkStart w:id="64"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05"/>
        </w:numPr>
      </w:pPr>
      <w:r>
        <w:t xml:space="preserve">Focus on developing judgment through varied experiences</w:t>
      </w:r>
    </w:p>
    <w:p>
      <w:pPr>
        <w:pStyle w:val="Compact"/>
        <w:numPr>
          <w:ilvl w:val="0"/>
          <w:numId w:val="1005"/>
        </w:numPr>
      </w:pPr>
      <w:r>
        <w:t xml:space="preserve">Build broad knowledge across multiple domains</w:t>
      </w:r>
    </w:p>
    <w:p>
      <w:pPr>
        <w:pStyle w:val="Compact"/>
        <w:numPr>
          <w:ilvl w:val="0"/>
          <w:numId w:val="1005"/>
        </w:numPr>
      </w:pPr>
      <w:r>
        <w:t xml:space="preserve">Practice making and learning from strategic decisions</w:t>
      </w:r>
    </w:p>
    <w:p>
      <w:pPr>
        <w:pStyle w:val="Compact"/>
        <w:numPr>
          <w:ilvl w:val="0"/>
          <w:numId w:val="1005"/>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06"/>
        </w:numPr>
      </w:pPr>
      <w:r>
        <w:t xml:space="preserve">Invest in tools that augment human judgment</w:t>
      </w:r>
    </w:p>
    <w:p>
      <w:pPr>
        <w:pStyle w:val="Compact"/>
        <w:numPr>
          <w:ilvl w:val="0"/>
          <w:numId w:val="1006"/>
        </w:numPr>
      </w:pPr>
      <w:r>
        <w:t xml:space="preserve">Develop processes that capture and share strategic insights</w:t>
      </w:r>
    </w:p>
    <w:p>
      <w:pPr>
        <w:pStyle w:val="Compact"/>
        <w:numPr>
          <w:ilvl w:val="0"/>
          <w:numId w:val="1006"/>
        </w:numPr>
      </w:pPr>
      <w:r>
        <w:t xml:space="preserve">Create cultures that value and develop good judgment</w:t>
      </w:r>
    </w:p>
    <w:p>
      <w:pPr>
        <w:pStyle w:val="Compact"/>
        <w:numPr>
          <w:ilvl w:val="0"/>
          <w:numId w:val="1006"/>
        </w:numPr>
      </w:pPr>
      <w:r>
        <w:t xml:space="preserve">Build teams with diverse perspectives and experiences</w:t>
      </w:r>
    </w:p>
    <w:bookmarkStart w:id="63"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63"/>
    <w:bookmarkEnd w:id="64"/>
    <w:bookmarkStart w:id="65"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bookmarkEnd w:id="65"/>
    <w:bookmarkStart w:id="66"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bookmarkEnd w:id="66"/>
    <w:bookmarkStart w:id="67" w:name="the-nature-of-the-divide"/>
    <w:p>
      <w:pPr>
        <w:pStyle w:val="Heading2"/>
      </w:pPr>
      <w:r>
        <w:t xml:space="preserve">3.11 The Nature of the Divide</w:t>
      </w:r>
    </w:p>
    <w:p>
      <w:pPr>
        <w:pStyle w:val="FirstParagraph"/>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w:t>
      </w:r>
      <w:r>
        <w:t xml:space="preserve"> </w:t>
      </w:r>
      <w:r>
        <w:rPr>
          <w:i/>
          <w:iCs/>
        </w:rPr>
        <w:t xml:space="preserve">what</w:t>
      </w:r>
      <w:r>
        <w:t xml:space="preserve"> </w:t>
      </w:r>
      <w:r>
        <w:t xml:space="preserve">needed to be done.</w:t>
      </w:r>
    </w:p>
    <w:p>
      <w:pPr>
        <w:pStyle w:val="BodyText"/>
      </w:pPr>
      <w:r>
        <w:t xml:space="preserve">In traditional organizational hierarchies, executives and managers typically decide</w:t>
      </w:r>
      <w:r>
        <w:t xml:space="preserve"> </w:t>
      </w:r>
      <w:r>
        <w:rPr>
          <w:i/>
          <w:iCs/>
        </w:rPr>
        <w:t xml:space="preserve">what</w:t>
      </w:r>
      <w:r>
        <w:t xml:space="preserve"> </w:t>
      </w:r>
      <w:r>
        <w:t xml:space="preserve">initiatives to pursue, while specialized knowledge workers determine</w:t>
      </w:r>
      <w:r>
        <w:t xml:space="preserve"> </w:t>
      </w:r>
      <w:r>
        <w:rPr>
          <w:i/>
          <w:iCs/>
        </w:rPr>
        <w:t xml:space="preserve">how</w:t>
      </w:r>
      <w:r>
        <w:t xml:space="preserve"> </w:t>
      </w:r>
      <w:r>
        <w:t xml:space="preserve">to execute them. This division has historically functioned efficiently because</w:t>
      </w:r>
      <w:r>
        <w:t xml:space="preserve"> </w:t>
      </w:r>
      <w:r>
        <w:rPr>
          <w:i/>
          <w:iCs/>
        </w:rPr>
        <w:t xml:space="preserve">how</w:t>
      </w:r>
      <w:r>
        <w:t xml:space="preserve"> </w:t>
      </w:r>
      <w:r>
        <w:t xml:space="preserve">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w:t>
      </w:r>
      <w:r>
        <w:t xml:space="preserve"> </w:t>
      </w:r>
      <w:r>
        <w:rPr>
          <w:i/>
          <w:iCs/>
        </w:rPr>
        <w:t xml:space="preserve">how</w:t>
      </w:r>
      <w:r>
        <w:t xml:space="preserve">—the execution of well-defined tasks within established parameters.</w:t>
      </w:r>
    </w:p>
    <w:p>
      <w:pPr>
        <w:pStyle w:val="BodyText"/>
      </w:pPr>
      <w:r>
        <w:t xml:space="preserve">What these systems cannot do—and what remains uniquely human—is determine</w:t>
      </w:r>
      <w:r>
        <w:t xml:space="preserve"> </w:t>
      </w:r>
      <w:r>
        <w:rPr>
          <w:i/>
          <w:iCs/>
        </w:rPr>
        <w:t xml:space="preserve">what</w:t>
      </w:r>
      <w:r>
        <w:t xml:space="preserve"> </w:t>
      </w:r>
      <w:r>
        <w:t xml:space="preserve">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Consider the financial analyst whose value traditionally derived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w:t>
      </w:r>
      <w:r>
        <w:t xml:space="preserve"> </w:t>
      </w:r>
      <w:r>
        <w:rPr>
          <w:i/>
          <w:iCs/>
        </w:rPr>
        <w:t xml:space="preserve">how</w:t>
      </w:r>
      <w:r>
        <w:t xml:space="preserve">—becomes commoditized, while judgment about</w:t>
      </w:r>
      <w:r>
        <w:t xml:space="preserve"> </w:t>
      </w:r>
      <w:r>
        <w:rPr>
          <w:i/>
          <w:iCs/>
        </w:rPr>
        <w:t xml:space="preserve">what</w:t>
      </w:r>
      <w:r>
        <w:t xml:space="preserve"> </w:t>
      </w:r>
      <w:r>
        <w:t xml:space="preserve">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7"/>
    <w:bookmarkStart w:id="68" w:name="philosophical-dimensions-of-the-divide"/>
    <w:p>
      <w:pPr>
        <w:pStyle w:val="Heading2"/>
      </w:pPr>
      <w:r>
        <w:t xml:space="preserve">3.12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8"/>
    <w:bookmarkStart w:id="72" w:name="case-studies-the-divide-in-practice"/>
    <w:p>
      <w:pPr>
        <w:pStyle w:val="Heading2"/>
      </w:pPr>
      <w:r>
        <w:t xml:space="preserve">3.13 Case Studies: The Divide in Practice</w:t>
      </w:r>
    </w:p>
    <w:p>
      <w:pPr>
        <w:pStyle w:val="FirstParagraph"/>
      </w:pPr>
      <w:r>
        <w:t xml:space="preserve">To illustrate the what-how divide, let’s examine several domains where this transformation is particularly evident:</w:t>
      </w:r>
    </w:p>
    <w:bookmarkStart w:id="69" w:name="software-development"/>
    <w:p>
      <w:pPr>
        <w:pStyle w:val="Heading3"/>
      </w:pPr>
      <w:r>
        <w:t xml:space="preserve">3.13.1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9"/>
    <w:bookmarkStart w:id="70" w:name="content-creation"/>
    <w:p>
      <w:pPr>
        <w:pStyle w:val="Heading3"/>
      </w:pPr>
      <w:r>
        <w:t xml:space="preserve">3.13.2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70"/>
    <w:bookmarkStart w:id="71" w:name="healthcare"/>
    <w:p>
      <w:pPr>
        <w:pStyle w:val="Heading3"/>
      </w:pPr>
      <w:r>
        <w:t xml:space="preserve">3.13.3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71"/>
    <w:bookmarkEnd w:id="72"/>
    <w:bookmarkStart w:id="73" w:name="the-competitive-dynamics-of-the-divide"/>
    <w:p>
      <w:pPr>
        <w:pStyle w:val="Heading2"/>
      </w:pPr>
      <w:r>
        <w:t xml:space="preserve">3.14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73"/>
    <w:bookmarkStart w:id="74" w:name="organizational-implications"/>
    <w:p>
      <w:pPr>
        <w:pStyle w:val="Heading2"/>
      </w:pPr>
      <w:r>
        <w:t xml:space="preserve">3.15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4"/>
    <w:bookmarkStart w:id="75" w:name="investment-implications-1"/>
    <w:p>
      <w:pPr>
        <w:pStyle w:val="Heading2"/>
      </w:pPr>
      <w:r>
        <w:t xml:space="preserve">3.16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5"/>
    <w:bookmarkStart w:id="76" w:name="the-evolution-of-knowledge-work"/>
    <w:p>
      <w:pPr>
        <w:pStyle w:val="Heading2"/>
      </w:pPr>
      <w:r>
        <w:t xml:space="preserve">3.17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6"/>
    <w:bookmarkStart w:id="77" w:name="integration-with-enhancement-thesis"/>
    <w:p>
      <w:pPr>
        <w:pStyle w:val="Heading2"/>
      </w:pPr>
      <w:r>
        <w:t xml:space="preserve">3.18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7"/>
    <w:bookmarkStart w:id="78" w:name="conclusion-navigating-the-transformation"/>
    <w:p>
      <w:pPr>
        <w:pStyle w:val="Heading2"/>
      </w:pPr>
      <w:r>
        <w:t xml:space="preserve">3.19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8"/>
    <w:bookmarkEnd w:id="79"/>
    <w:bookmarkStart w:id="80"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Before we get started, I have a few words to say….</w:t>
      </w:r>
    </w:p>
    <w:p>
      <w:pPr>
        <w:pStyle w:val="BodyText"/>
      </w:pPr>
      <w:r>
        <w:t xml:space="preserve">Previous chapters examined AI’s capabilities and limitations from technical and business perspectives. But to truly understand why human intelligence remains irreplaceable, we need to dig deeper into what makes human thinking unique. This takes us into philosophical territory that might seem abstract at first but has profound practical implications for business leaders and investors trying to navigate the AI revolution.</w:t>
      </w:r>
    </w:p>
    <w:p>
      <w:pPr>
        <w:pStyle w:val="BodyText"/>
      </w:pPr>
      <w:r>
        <w:t xml:space="preserve">While American and British philosophers have focused primarily on logic and language – which certainly matter for AI development – Continental philosophers, particularly Martin Heidegger, tackled more fundamental questions about what it means to think and exist. Their insights help explain why even our most advanced AI systems, despite impressive capabilities, still miss essential aspects of human intelligence.</w:t>
      </w:r>
    </w:p>
    <w:p>
      <w:pPr>
        <w:pStyle w:val="BodyText"/>
      </w:pPr>
      <w:r>
        <w:t xml:space="preserve">The fundamental issue is that we’ve inherited a flawed model of human intelligence from Descartes and other early modern philosophers. They viewed humans as essentially thinking machines – hence</w:t>
      </w:r>
      <w:r>
        <w:t xml:space="preserve"> </w:t>
      </w:r>
      <w:r>
        <w:t xml:space="preserve">“I think, therefore I am.”</w:t>
      </w:r>
      <w:r>
        <w:t xml:space="preserve"> </w:t>
      </w:r>
      <w:r>
        <w:t xml:space="preserve">This same assumption underlies most AI development: if we can replicate human-like information processing, we’ll achieve human-like intelligence. But this gets things exactly backwards.</w:t>
      </w:r>
    </w:p>
    <w:p>
      <w:pPr>
        <w:pStyle w:val="BodyText"/>
      </w:pPr>
      <w:r>
        <w:t xml:space="preserve">We’re not primarily thinking machines that sometimes act in the world. Instead, we’re fundamentally beings-in-the-world (Heidegger’s hyphenated term emphasizes this unity) who sometimes step back to think abstractly. This distinction has enormous implications for how we should think about AI and its limitations.</w:t>
      </w:r>
    </w:p>
    <w:p>
      <w:pPr>
        <w:pStyle w:val="BodyText"/>
      </w:pPr>
      <w:r>
        <w:t xml:space="preserve">Consider a skilled trader on a busy trading floor. When they’re</w:t>
      </w:r>
      <w:r>
        <w:t xml:space="preserve"> </w:t>
      </w:r>
      <w:r>
        <w:t xml:space="preserve">“in the zone,”</w:t>
      </w:r>
      <w:r>
        <w:t xml:space="preserve"> </w:t>
      </w:r>
      <w:r>
        <w:t xml:space="preserve">they’re not consciously thinking through each decision. They’re responding to market movements, news flows, and subtle signals from colleagues with an intuitive grasp that comes from years of embodied experience. Heidegger would say they’re exhibiting</w:t>
      </w:r>
      <w:r>
        <w:t xml:space="preserve"> </w:t>
      </w:r>
      <w:r>
        <w:t xml:space="preserve">“ready-to-hand”</w:t>
      </w:r>
      <w:r>
        <w:t xml:space="preserve"> </w:t>
      </w:r>
      <w:r>
        <w:t xml:space="preserve">engagement with their environment, not detached analytical thinking.</w:t>
      </w:r>
    </w:p>
    <w:p>
      <w:pPr>
        <w:pStyle w:val="BodyText"/>
      </w:pPr>
      <w:r>
        <w:t xml:space="preserve">This is fundamentally different from how AI trading systems work. The AI processes data and applies algorithms, but it lacks what Heidegger calls</w:t>
      </w:r>
      <w:r>
        <w:t xml:space="preserve"> </w:t>
      </w:r>
      <w:r>
        <w:t xml:space="preserve">“comportment”</w:t>
      </w:r>
      <w:r>
        <w:t xml:space="preserve"> </w:t>
      </w:r>
      <w:r>
        <w:t xml:space="preserve">– that basic way of being oriented toward and engaged with the world that comes before any explicit thinking. This explains why pure algorithmic trading works well for certain types of high-frequency operations, but the most successful hedge funds still rely heavily on human judgment for their major positions. The humans aren’t necessarily</w:t>
      </w:r>
      <w:r>
        <w:t xml:space="preserve"> </w:t>
      </w:r>
      <w:r>
        <w:t xml:space="preserve">“smarter”</w:t>
      </w:r>
      <w:r>
        <w:t xml:space="preserve"> </w:t>
      </w:r>
      <w:r>
        <w:t xml:space="preserve">than the algorithms – they just engage with the market in a fundamentally different way.</w:t>
      </w:r>
    </w:p>
    <w:p>
      <w:pPr>
        <w:pStyle w:val="BodyText"/>
      </w:pPr>
      <w:r>
        <w:t xml:space="preserve">This connects to another key Heideggerian insight: we’re temporal beings who inherently understand past, present, and future as a unified whole. When a skilled investor or business leader makes decisions, they’re not just processing current data – they’re drawing on their lived experience of the past and projecting possibilities into the future. AI systems, in contrast, can only process historical data and make statistical projections. They lack what Heidegger calls</w:t>
      </w:r>
      <w:r>
        <w:t xml:space="preserve"> </w:t>
      </w:r>
      <w:r>
        <w:t xml:space="preserve">“temporality”</w:t>
      </w:r>
      <w:r>
        <w:t xml:space="preserve"> </w:t>
      </w:r>
      <w:r>
        <w:t xml:space="preserve">– that basic human way of existing across time that makes genuine understanding possible.</w:t>
      </w:r>
    </w:p>
    <w:p>
      <w:pPr>
        <w:pStyle w:val="BodyText"/>
      </w:pPr>
      <w:r>
        <w:t xml:space="preserve">This explains why many business leaders discover that their best human decision-makers aren’t just processing more data – they’re bringing something qualitatively different to the table. Humans don’t primarily understand things by building up from basic facts to complex conclusions. Instead, we always already have what Heidegger calls a</w:t>
      </w:r>
      <w:r>
        <w:t xml:space="preserve"> </w:t>
      </w:r>
      <w:r>
        <w:t xml:space="preserve">“pre-understanding”</w:t>
      </w:r>
      <w:r>
        <w:t xml:space="preserve"> </w:t>
      </w:r>
      <w:r>
        <w:t xml:space="preserve">– a practical grasp of how things work that comes from being embedded in a shared world of meaning.</w:t>
      </w:r>
    </w:p>
    <w:p>
      <w:pPr>
        <w:pStyle w:val="BodyText"/>
      </w:pPr>
      <w:r>
        <w:t xml:space="preserve">Think about how a seasoned executive</w:t>
      </w:r>
      <w:r>
        <w:t xml:space="preserve"> </w:t>
      </w:r>
      <w:r>
        <w:t xml:space="preserve">“reads the room”</w:t>
      </w:r>
      <w:r>
        <w:t xml:space="preserve"> </w:t>
      </w:r>
      <w:r>
        <w:t xml:space="preserve">in a crucial negotiation. They’re not just processing verbal statements and body language signals. They’re drawing on a lifetime of cultural and social understanding that no AI system can replicate because AIs lack what Heidegger calls</w:t>
      </w:r>
      <w:r>
        <w:t xml:space="preserve"> </w:t>
      </w:r>
      <w:r>
        <w:t xml:space="preserve">“being-with”</w:t>
      </w:r>
      <w:r>
        <w:t xml:space="preserve"> </w:t>
      </w:r>
      <w:r>
        <w:t xml:space="preserve">– that fundamental way humans share a meaningful world with others.</w:t>
      </w:r>
    </w:p>
    <w:p>
      <w:pPr>
        <w:pStyle w:val="BodyText"/>
      </w:pPr>
      <w:r>
        <w:t xml:space="preserve">This explains something often observed in investment teams: Junior analysts may have impressive technical skills and can process more data than their senior colleagues. But the best senior investors have something that can’t be reduced to information processing – a kind of practical wisdom that comes from years of being immersed in markets and business.</w:t>
      </w:r>
    </w:p>
    <w:p>
      <w:pPr>
        <w:pStyle w:val="BodyText"/>
      </w:pPr>
      <w:r>
        <w:t xml:space="preserve">These philosophical insights have practical implications for how businesses should implement AI. Consider three different business activities:</w:t>
      </w:r>
    </w:p>
    <w:p>
      <w:pPr>
        <w:pStyle w:val="Compact"/>
        <w:numPr>
          <w:ilvl w:val="0"/>
          <w:numId w:val="1008"/>
        </w:numPr>
      </w:pPr>
      <w:r>
        <w:t xml:space="preserve">Processing insurance claims</w:t>
      </w:r>
    </w:p>
    <w:p>
      <w:pPr>
        <w:pStyle w:val="Compact"/>
        <w:numPr>
          <w:ilvl w:val="0"/>
          <w:numId w:val="1008"/>
        </w:numPr>
      </w:pPr>
      <w:r>
        <w:t xml:space="preserve">Negotiating a major acquisition</w:t>
      </w:r>
    </w:p>
    <w:p>
      <w:pPr>
        <w:pStyle w:val="Compact"/>
        <w:numPr>
          <w:ilvl w:val="0"/>
          <w:numId w:val="1008"/>
        </w:numPr>
      </w:pPr>
      <w:r>
        <w:t xml:space="preserve">Developing a new product strategy</w:t>
      </w:r>
    </w:p>
    <w:p>
      <w:pPr>
        <w:pStyle w:val="FirstParagraph"/>
      </w:pPr>
      <w:r>
        <w:t xml:space="preserve">The first task is mainly about following procedures and processing information – perfect for AI enhancement. The second requires deep cultural understanding and reading subtle human dynamics – AI can assist but human judgment remains essential. The third requires what Heidegger calls</w:t>
      </w:r>
      <w:r>
        <w:t xml:space="preserve"> </w:t>
      </w:r>
      <w:r>
        <w:t xml:space="preserve">“projection”</w:t>
      </w:r>
      <w:r>
        <w:t xml:space="preserve"> </w:t>
      </w:r>
      <w:r>
        <w:t xml:space="preserve">– understanding current possibilities in light of future potential. AI can provide data and analysis, but only humans can truly innovate because only humans exist temporally.</w:t>
      </w:r>
    </w:p>
    <w:p>
      <w:pPr>
        <w:pStyle w:val="BodyText"/>
      </w:pPr>
      <w:r>
        <w:t xml:space="preserve">This pattern appears consistently in markets. Companies that try to completely automate complex human judgments often disappoint, while those that use AI to enhance human capabilities tend to succeed. It’s not about replacing human intelligence but augmenting it in ways that respect its unique character.</w:t>
      </w:r>
    </w:p>
    <w:p>
      <w:pPr>
        <w:pStyle w:val="BodyText"/>
      </w:pPr>
      <w:r>
        <w:t xml:space="preserve">This suggests the current focus on making AI more</w:t>
      </w:r>
      <w:r>
        <w:t xml:space="preserve"> </w:t>
      </w:r>
      <w:r>
        <w:t xml:space="preserve">“human-like”</w:t>
      </w:r>
      <w:r>
        <w:t xml:space="preserve"> </w:t>
      </w:r>
      <w:r>
        <w:t xml:space="preserve">may be misguided. Instead of trying to replicate human intelligence, which is fundamentally embedded in being-in-the-world, we should focus on developing AI systems that complement human capabilities. Think about how a hammer extends human capabilities without trying to replicate the human arm. Similarly, AI should extend human intelligence without trying to replicate human understanding.</w:t>
      </w:r>
    </w:p>
    <w:p>
      <w:pPr>
        <w:pStyle w:val="BodyText"/>
      </w:pPr>
      <w:r>
        <w:t xml:space="preserve">For investors, this means companies that understand these distinctions – between what AI can enhance and what remains irreducibly human – are more likely to successfully implement AI than those pursuing full automation of human judgment. It also suggests we need to rethink how we evaluate AI progress. Instead of asking whether AI can pass increasingly sophisticated Turing tests, we should ask how effectively it enhances distinctively human capabilities.</w:t>
      </w:r>
    </w:p>
    <w:p>
      <w:pPr>
        <w:pStyle w:val="BodyText"/>
      </w:pPr>
      <w:r>
        <w:t xml:space="preserve">The goal shouldn’t be artificial general intelligence that replicates human thinking. Instead, we should aim for artificial specific intelligence that amplifies human judgment while respecting its unique character. This philosophical perspective helps explain why the most successful AI implementations are those that enhance rather than replace human judgment. They succeed not despite keeping humans in the loop, but because they maintain that crucial human element.</w:t>
      </w:r>
    </w:p>
    <w:p>
      <w:pPr>
        <w:pStyle w:val="BodyText"/>
      </w:pPr>
      <w:r>
        <w:t xml:space="preserve">This brings us back to our core enhancement thesis. By understanding the fundamental differences between human and artificial intelligence, we can better appreciate why enhancement rather than replacement is the right goal. The future belongs not to pure AI systems, but to human-AI partnerships that respect and amplify what makes human intelligence unique – our being-in-the-world, our temporality, and our fundamental way of sharing meaning with others.</w:t>
      </w:r>
    </w:p>
    <w:p>
      <w:pPr>
        <w:pStyle w:val="BodyText"/>
      </w:pPr>
      <w:r>
        <w:t xml:space="preserve">These insights have profound implications for how businesses should approach AI implementation, which we’ll explore in the following chapters. But the key takeaway is this: successful AI strategy requires understanding not just what computers can do, but what makes human intelligence irreplaceably unique.</w:t>
      </w:r>
    </w:p>
    <w:bookmarkEnd w:id="80"/>
    <w:bookmarkStart w:id="89"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1" w:name="the-uniqueness-of-human-judgment"/>
    <w:p>
      <w:pPr>
        <w:pStyle w:val="Heading2"/>
      </w:pPr>
      <w:r>
        <w:t xml:space="preserve">5.1 The Uniqueness of Human Judgment</w:t>
      </w:r>
    </w:p>
    <w:p>
      <w:pPr>
        <w:pStyle w:val="FirstParagraph"/>
      </w:pPr>
      <w:r>
        <w:t xml:space="preserve">Consider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1"/>
    <w:bookmarkStart w:id="82"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Consider the limitations of large language models (LLMs), which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2"/>
    <w:bookmarkStart w:id="83"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w:t>
      </w:r>
    </w:p>
    <w:p>
      <w:pPr>
        <w:pStyle w:val="BodyText"/>
      </w:pPr>
      <w:r>
        <w:t xml:space="preserve">Similar patterns emerge in technical implementation across industries. Consider the development of fully autonomous vehicles, which represents one of the most ambitious applications of artificial intelligence to real-world problems. Despite massive investments and impressive technical achievements, full autonomy remains elusive in complex, unpredictable environments.</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3"/>
    <w:bookmarkStart w:id="84"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Consider pandemic response planning, where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4"/>
    <w:bookmarkStart w:id="85"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85"/>
    <w:bookmarkStart w:id="86"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86"/>
    <w:bookmarkStart w:id="87"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87"/>
    <w:bookmarkStart w:id="88"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w:t>
      </w:r>
    </w:p>
    <w:bookmarkEnd w:id="88"/>
    <w:bookmarkEnd w:id="89"/>
    <w:bookmarkStart w:id="97"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 Her experience crystallizes a crucial insight about AI implementation: the goal isn’t to replace humans, but to enhance their capabilities in ways that create genuine value.</w:t>
      </w:r>
    </w:p>
    <w:p>
      <w:pPr>
        <w:pStyle w:val="BodyText"/>
      </w:pPr>
      <w:r>
        <w:t xml:space="preserve">This chapter explores how organizations can identify the optimal balance between human judgment and AI capabilities. We’ll examine specific cases where AI enhances rather than replaces human work, drawing lessons that apply across industries. The key lies in understanding which aspects of work benefit from AI assistance and which require irreducible human judgment.</w:t>
      </w:r>
    </w:p>
    <w:bookmarkStart w:id="90" w:name="the-enhancement-zone"/>
    <w:p>
      <w:pPr>
        <w:pStyle w:val="Heading2"/>
      </w:pPr>
      <w:r>
        <w:t xml:space="preserve">6.1 The Enhancement Zone</w:t>
      </w:r>
    </w:p>
    <w:p>
      <w:pPr>
        <w:pStyle w:val="FirstParagraph"/>
      </w:pPr>
      <w:r>
        <w:t xml:space="preserve">Consider how pilots interact with modern aircraft systems. The autopilot handles routine flight operations, allowing human pilots to focus on higher-level decisions and emergency responses. This division of labor exemplifies what we call the</w:t>
      </w:r>
      <w:r>
        <w:t xml:space="preserve"> </w:t>
      </w:r>
      <w:r>
        <w:t xml:space="preserve">“enhancement zone”</w:t>
      </w:r>
      <w:r>
        <w:t xml:space="preserve"> </w:t>
      </w:r>
      <w:r>
        <w:t xml:space="preserve">–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This same principle applies across knowledge work. Take the case of JPMorgan’s implementation of AI in its investment research division. Rather than replacing analysts, the AI serves as a research assistant, scanning thousands of documents to surface relevant information. The analysts’ role has evolved to focus more on synthesis and client relationship management – areas where human judgment remains irreplaceable. The AI handles the</w:t>
      </w:r>
      <w:r>
        <w:t xml:space="preserve"> </w:t>
      </w:r>
      <w:r>
        <w:t xml:space="preserve">“how”</w:t>
      </w:r>
      <w:r>
        <w:t xml:space="preserve"> </w:t>
      </w:r>
      <w:r>
        <w:t xml:space="preserve">of information gathering, while humans determine</w:t>
      </w:r>
      <w:r>
        <w:t xml:space="preserve"> </w:t>
      </w:r>
      <w:r>
        <w:t xml:space="preserve">“what”</w:t>
      </w:r>
      <w:r>
        <w:t xml:space="preserve"> </w:t>
      </w:r>
      <w:r>
        <w:t xml:space="preserve">insights matter to clients.</w:t>
      </w:r>
    </w:p>
    <w:bookmarkEnd w:id="90"/>
    <w:bookmarkStart w:id="91" w:name="the-decisioning-framework"/>
    <w:p>
      <w:pPr>
        <w:pStyle w:val="Heading2"/>
      </w:pPr>
      <w:r>
        <w:t xml:space="preserve">6.2 The Decisioning Framework</w:t>
      </w:r>
    </w:p>
    <w:p>
      <w:pPr>
        <w:pStyle w:val="FirstParagraph"/>
      </w:pPr>
      <w:r>
        <w:t xml:space="preserve">Through our research across industries, we’ve identified three key questions that help organizations find their enhancement sweet spot:</w:t>
      </w:r>
    </w:p>
    <w:p>
      <w:pPr>
        <w:pStyle w:val="Compact"/>
        <w:numPr>
          <w:ilvl w:val="0"/>
          <w:numId w:val="1010"/>
        </w:numPr>
      </w:pPr>
      <w:r>
        <w:t xml:space="preserve">What decisions require contextual understanding that AI cannot replicate?</w:t>
      </w:r>
    </w:p>
    <w:p>
      <w:pPr>
        <w:pStyle w:val="Compact"/>
        <w:numPr>
          <w:ilvl w:val="0"/>
          <w:numId w:val="1010"/>
        </w:numPr>
      </w:pPr>
      <w:r>
        <w:t xml:space="preserve">Where can AI’s pattern recognition complement human insight?</w:t>
      </w:r>
    </w:p>
    <w:p>
      <w:pPr>
        <w:pStyle w:val="Compact"/>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bookmarkEnd w:id="91"/>
    <w:bookmarkStart w:id="92" w:name="learning-from-failed-implementations"/>
    <w:p>
      <w:pPr>
        <w:pStyle w:val="Heading2"/>
      </w:pPr>
      <w:r>
        <w:t xml:space="preserve">6.3 Learning from Failed Implementations</w:t>
      </w:r>
    </w:p>
    <w:p>
      <w:pPr>
        <w:pStyle w:val="FirstParagraph"/>
      </w:pPr>
      <w:r>
        <w:t xml:space="preserve">Not all attempts at human-AI collaboration succeed. The autonomous vehicle industry offers telling examples. Companies that tried to eliminate human drivers entirely have struggled, while those that use AI to enhance human capabilities show more promise. Take Daimler Trucks’ approach: rather than pursuing full autonomy, they developed AI systems that help human drivers operate more safely and efficiently. The AI handles tasks like maintaining safe following distances and optimizing fuel consumption, while humans manage complex navigation and unexpected situations.</w:t>
      </w:r>
    </w:p>
    <w:p>
      <w:pPr>
        <w:pStyle w:val="BodyText"/>
      </w:pPr>
      <w:r>
        <w:t xml:space="preserve">This pattern repeats across industries. Attempts to fully automate creative work often disappoint, while approaches that enhance human creativity succeed. Adobe’s AI features don’t replace designers but handle tedious tasks like image resizing and background removal, freeing humans to focus on creative direction and client needs.</w:t>
      </w:r>
    </w:p>
    <w:bookmarkEnd w:id="92"/>
    <w:bookmarkStart w:id="93" w:name="the-role-of-management"/>
    <w:p>
      <w:pPr>
        <w:pStyle w:val="Heading2"/>
      </w:pPr>
      <w:r>
        <w:t xml:space="preserve">6.4 The Role of Management</w:t>
      </w:r>
    </w:p>
    <w:p>
      <w:pPr>
        <w:pStyle w:val="FirstParagraph"/>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bookmarkEnd w:id="93"/>
    <w:bookmarkStart w:id="94" w:name="implementation-guidelines"/>
    <w:p>
      <w:pPr>
        <w:pStyle w:val="Heading2"/>
      </w:pPr>
      <w:r>
        <w:t xml:space="preserve">6.5 Implementation Guidelines</w:t>
      </w:r>
    </w:p>
    <w:p>
      <w:pPr>
        <w:pStyle w:val="FirstParagraph"/>
      </w:pPr>
      <w:r>
        <w:t xml:space="preserve">Based on our research, successful human-AI collaboration requires several key elements:</w:t>
      </w:r>
    </w:p>
    <w:p>
      <w:pPr>
        <w:pStyle w:val="BodyText"/>
      </w:pPr>
      <w:r>
        <w:t xml:space="preserve">Clear role definition: Both humans and AI need well-defined responsibilities that play to their strengths. At Goldman Sachs, AI handles data analysis and pattern recognition in trading, while human traders focus on strategy and risk assessment.</w:t>
      </w:r>
    </w:p>
    <w:p>
      <w:pPr>
        <w:pStyle w:val="BodyText"/>
      </w:pPr>
      <w:r>
        <w:t xml:space="preserve">Feedback loops: Humans must be able to override and correct AI when necessary. This isn’t just about catching errors – it’s about maintaining human agency and improving the system over time.</w:t>
      </w:r>
    </w:p>
    <w:p>
      <w:pPr>
        <w:pStyle w:val="BodyText"/>
      </w:pPr>
      <w:r>
        <w:t xml:space="preserve">Training and adaptation: Workers need support in developing new skills that complement AI capabilities. The goal isn’t to compete with AI but to leverage it effectively.</w:t>
      </w:r>
    </w:p>
    <w:bookmarkEnd w:id="94"/>
    <w:bookmarkStart w:id="95" w:name="cultural-considerations"/>
    <w:p>
      <w:pPr>
        <w:pStyle w:val="Heading2"/>
      </w:pPr>
      <w:r>
        <w:t xml:space="preserve">6.6 Cultural Considerations</w:t>
      </w:r>
    </w:p>
    <w:p>
      <w:pPr>
        <w:pStyle w:val="FirstParagraph"/>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bookmarkEnd w:id="95"/>
    <w:bookmarkStart w:id="96" w:name="looking-forward"/>
    <w:p>
      <w:pPr>
        <w:pStyle w:val="Heading2"/>
      </w:pPr>
      <w:r>
        <w:t xml:space="preserve">6.7 Looking Forward</w:t>
      </w:r>
    </w:p>
    <w:p>
      <w:pPr>
        <w:pStyle w:val="FirstParagraph"/>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key lies in understanding that AI’s role is to handle the</w:t>
      </w:r>
      <w:r>
        <w:t xml:space="preserve"> </w:t>
      </w:r>
      <w:r>
        <w:t xml:space="preserve">“how”</w:t>
      </w:r>
      <w:r>
        <w:t xml:space="preserve"> </w:t>
      </w:r>
      <w:r>
        <w:t xml:space="preserve">while humans focus on the</w:t>
      </w:r>
      <w:r>
        <w:t xml:space="preserve"> </w:t>
      </w:r>
      <w:r>
        <w:t xml:space="preserve">“what.”</w:t>
      </w:r>
      <w:r>
        <w:t xml:space="preserve"> </w:t>
      </w:r>
      <w:r>
        <w:t xml:space="preserve">Organizations that grasp this principle and implement it effectively will find themselves operating in the sweet spot where human judgment and AI capabilities combine to create superior outcomes.</w:t>
      </w:r>
    </w:p>
    <w:p>
      <w:pPr>
        <w:pStyle w:val="BodyText"/>
      </w:pPr>
      <w:r>
        <w:t xml:space="preserve">Looking ahead, 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 Organizations that master this balance will be best positioned to thrive in an AI-enhanced future.</w:t>
      </w:r>
    </w:p>
    <w:bookmarkEnd w:id="96"/>
    <w:bookmarkEnd w:id="97"/>
    <w:bookmarkStart w:id="108" w:name="Xb303bd4a8e7124ee0aff82df980618e46bbf16e"/>
    <w:p>
      <w:pPr>
        <w:pStyle w:val="Heading1"/>
      </w:pPr>
      <w:r>
        <w:t xml:space="preserve">7. The Implementation Challenge: Making Enhancement Work</w:t>
      </w:r>
    </w:p>
    <w:p>
      <w:pPr>
        <w:pStyle w:val="FirstParagraph"/>
      </w:pPr>
      <w:r>
        <w:t xml:space="preserve">Practical strategies for introducing AI while maintaining human agency</w:t>
      </w:r>
    </w:p>
    <w:p>
      <w:pPr>
        <w:pStyle w:val="BodyText"/>
      </w:pPr>
      <w:r>
        <w:br/>
      </w:r>
    </w:p>
    <w:p>
      <w:pPr>
        <w:pStyle w:val="BodyText"/>
      </w:pPr>
      <w:r>
        <w:t xml:space="preserve">The gap between AI’s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case of a Fortune 500 consumer products company that recently evaluated Microsoft’s CoPilot suite. The project team, tasked with finding AI-driven productivity gains,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98" w:name="the-enhancement-framework"/>
    <w:p>
      <w:pPr>
        <w:pStyle w:val="Heading2"/>
      </w:pPr>
      <w:r>
        <w:t xml:space="preserve">7.1 The Enhancement Framework</w:t>
      </w:r>
    </w:p>
    <w:p>
      <w:pPr>
        <w:pStyle w:val="FirstParagraph"/>
      </w:pPr>
      <w:r>
        <w:t xml:space="preserve">Successful AI implementation requires a clear framework for distinguishing between tasks that benefit from automation versus those that require human enhancement.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that are better suited for enhancement.</w:t>
      </w:r>
    </w:p>
    <w:p>
      <w:pPr>
        <w:pStyle w:val="BodyText"/>
      </w:pPr>
      <w:r>
        <w:t xml:space="preserve">For example, 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98"/>
    <w:bookmarkStart w:id="99"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are designed to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bookmarkEnd w:id="99"/>
    <w:bookmarkStart w:id="100" w:name="the-training-challenge"/>
    <w:p>
      <w:pPr>
        <w:pStyle w:val="Heading2"/>
      </w:pPr>
      <w:r>
        <w:t xml:space="preserve">7.3 The Training Challenge</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the example of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bookmarkEnd w:id="100"/>
    <w:bookmarkStart w:id="101" w:name="measuring-success"/>
    <w:p>
      <w:pPr>
        <w:pStyle w:val="Heading2"/>
      </w:pPr>
      <w:r>
        <w:t xml:space="preserve">7.4 Measuring Success</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successful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the value of AI lies not in replacing human analysts but in enhancing their capabilities.</w:t>
      </w:r>
    </w:p>
    <w:bookmarkEnd w:id="101"/>
    <w:bookmarkStart w:id="102" w:name="common-implementation-pitfalls"/>
    <w:p>
      <w:pPr>
        <w:pStyle w:val="Heading2"/>
      </w:pPr>
      <w:r>
        <w:t xml:space="preserve">7.5 Common Implementation Pitfalls</w:t>
      </w:r>
    </w:p>
    <w:p>
      <w:pPr>
        <w:pStyle w:val="FirstParagraph"/>
      </w:pPr>
      <w:r>
        <w:t xml:space="preserve">Several common mistakes consistently undermine AI implementation efforts:</w:t>
      </w:r>
    </w:p>
    <w:p>
      <w:pPr>
        <w:numPr>
          <w:ilvl w:val="0"/>
          <w:numId w:val="1011"/>
        </w:numPr>
      </w:pPr>
      <w:r>
        <w:rPr>
          <w:b/>
          <w:bCs/>
        </w:rPr>
        <w:t xml:space="preserve">Overemphasis on Automation</w:t>
      </w:r>
      <w:r>
        <w:t xml:space="preserve">: Organizations often focus on fully automating processes rather than enhancing human capabilities. This leads to resistance from users and missed opportunities for genuine enhancement.</w:t>
      </w:r>
    </w:p>
    <w:p>
      <w:pPr>
        <w:numPr>
          <w:ilvl w:val="0"/>
          <w:numId w:val="1011"/>
        </w:numPr>
      </w:pPr>
      <w:r>
        <w:rPr>
          <w:b/>
          <w:bCs/>
        </w:rPr>
        <w:t xml:space="preserve">Insufficient Training in Judgment</w:t>
      </w:r>
      <w:r>
        <w:t xml:space="preserve">: Most training programs focus on technical operation rather than helping users understand when and how to rely on AI assistance.</w:t>
      </w:r>
    </w:p>
    <w:p>
      <w:pPr>
        <w:numPr>
          <w:ilvl w:val="0"/>
          <w:numId w:val="1011"/>
        </w:numPr>
      </w:pPr>
      <w:r>
        <w:rPr>
          <w:b/>
          <w:bCs/>
        </w:rPr>
        <w:t xml:space="preserve">Poor Integration with Existing Workflows</w:t>
      </w:r>
      <w:r>
        <w:t xml:space="preserve">: AI tools are often implemented as standalone solutions rather than being integrated into existing work processes.</w:t>
      </w:r>
    </w:p>
    <w:p>
      <w:pPr>
        <w:numPr>
          <w:ilvl w:val="0"/>
          <w:numId w:val="1011"/>
        </w:numPr>
      </w:pPr>
      <w:r>
        <w:rPr>
          <w:b/>
          <w:bCs/>
        </w:rPr>
        <w:t xml:space="preserve">Lack of Clear Boundaries</w:t>
      </w:r>
      <w:r>
        <w:t xml:space="preserve">: Organizations frequently fail to establish clear guidelines about which decisions require human judgment and which can be delegated to AI.</w:t>
      </w:r>
    </w:p>
    <w:p>
      <w:pPr>
        <w:numPr>
          <w:ilvl w:val="0"/>
          <w:numId w:val="1011"/>
        </w:numPr>
      </w:pPr>
      <w:r>
        <w:rPr>
          <w:b/>
          <w:bCs/>
        </w:rPr>
        <w:t xml:space="preserve">Inadequate Feedback Loops</w:t>
      </w:r>
      <w:r>
        <w:t xml:space="preserve">: Many implementations lack effective mechanisms for humans to provide feedback on AI performance and for that feedback to improve the system.</w:t>
      </w:r>
    </w:p>
    <w:bookmarkEnd w:id="102"/>
    <w:bookmarkStart w:id="103"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Let’s examine each element in detail:</w:t>
      </w:r>
    </w:p>
    <w:p>
      <w:pPr>
        <w:pStyle w:val="Compact"/>
        <w:numPr>
          <w:ilvl w:val="0"/>
          <w:numId w:val="1012"/>
        </w:numPr>
      </w:pPr>
      <w:r>
        <w:rPr>
          <w:b/>
          <w:bCs/>
        </w:rPr>
        <w:t xml:space="preserve">Start with Human Judgment</w:t>
      </w:r>
      <w:r>
        <w:t xml:space="preserve">: Begin by identifying where human judgment adds the most value in your organization. These areas are typically candidates for enhancement rather than automation. The process starts with careful observation of how your most effective employees make decisions. What contextual knowledge do they draw upon? Which decisions require intuition or experience? What subtle factors influence their choices?</w:t>
      </w:r>
    </w:p>
    <w:p>
      <w:pPr>
        <w:pStyle w:val="FirstParagraph"/>
      </w:pPr>
      <w:r>
        <w:t xml:space="preserve">For example, when McKinsey implemented AI tools for their consulting practice, they first mapped out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Compact"/>
        <w:numPr>
          <w:ilvl w:val="0"/>
          <w:numId w:val="1013"/>
        </w:numPr>
      </w:pPr>
      <w:r>
        <w:rPr>
          <w:b/>
          <w:bCs/>
        </w:rPr>
        <w:t xml:space="preserve">Design for Transparency</w:t>
      </w:r>
      <w:r>
        <w:t xml:space="preserve">: Ensure AI systems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FirstParagraph"/>
      </w:pPr>
      <w:r>
        <w:t xml:space="preserve">Microsoft’s implementation of AI coding assistants demonstrates this principle well.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Compact"/>
        <w:numPr>
          <w:ilvl w:val="0"/>
          <w:numId w:val="1014"/>
        </w:numPr>
      </w:pPr>
      <w:r>
        <w:rPr>
          <w:b/>
          <w:bCs/>
        </w:rPr>
        <w:t xml:space="preserve">Integrate Gradually</w:t>
      </w:r>
      <w:r>
        <w:t xml:space="preserve">: Begin with small-scale implementations that allow users to build trust and understanding of the AI’s capabilities and limitations. This approach creates opportunities for learning and adjustment without risking major disruption. Start with low-stakes applications where errors can be easily caught and corrected.</w:t>
      </w:r>
    </w:p>
    <w:p>
      <w:pPr>
        <w:pStyle w:val="FirstParagraph"/>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Compact"/>
        <w:numPr>
          <w:ilvl w:val="0"/>
          <w:numId w:val="1015"/>
        </w:numPr>
      </w:pPr>
      <w:r>
        <w:rPr>
          <w:b/>
          <w:bCs/>
        </w:rPr>
        <w:t xml:space="preserve">Establish Clear Boundaries</w:t>
      </w:r>
      <w:r>
        <w:t xml:space="preserve">: Define explicit guidelines for which decisions require human judgment and which can be delegated to AI. These boundaries should be based on careful analysis of risk, regulatory requirements, and the comparative advantages of human and artificial intelligence. The guidelines should be specific enough to prevent confusion but flexible enough to evolve as capabilities change.</w:t>
      </w:r>
    </w:p>
    <w:p>
      <w:pPr>
        <w:pStyle w:val="FirstParagraph"/>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Compact"/>
        <w:numPr>
          <w:ilvl w:val="0"/>
          <w:numId w:val="1016"/>
        </w:numPr>
      </w:pPr>
      <w:r>
        <w:rPr>
          <w:b/>
          <w:bCs/>
        </w:rPr>
        <w:t xml:space="preserve">Build Feedback Loops</w:t>
      </w:r>
      <w:r>
        <w:t xml:space="preserve">: Create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FirstParagraph"/>
      </w:pPr>
      <w:r>
        <w:t xml:space="preserve">Palantir’s successful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p>
      <w:pPr>
        <w:pStyle w:val="BodyText"/>
      </w:pPr>
      <w:r>
        <w:t xml:space="preserve">The feedback process should also track how AI enhancement affects human performance over time. Are decisions being made faster? With better outcomes? Are humans developing new skills or insights through their interaction with AI tools? This broader view of performance helps organizations optimize their human-AI collaboration.</w:t>
      </w:r>
    </w:p>
    <w:p>
      <w:pPr>
        <w:pStyle w:val="BodyText"/>
      </w:pPr>
      <w:r>
        <w:t xml:space="preserve">Additionally, successful implementations require attention to several supporting elements:</w:t>
      </w:r>
    </w:p>
    <w:p>
      <w:pPr>
        <w:numPr>
          <w:ilvl w:val="0"/>
          <w:numId w:val="1017"/>
        </w:numPr>
      </w:pPr>
      <w:r>
        <w:rPr>
          <w:b/>
          <w:bCs/>
        </w:rPr>
        <w:t xml:space="preserve">Cultural Change Management</w:t>
      </w:r>
      <w:r>
        <w:t xml:space="preserve">: Help employees understand that AI tools are meant to enhance their capabilities, not replace them. This often requires active effort to counter fears and misconceptions about AI.</w:t>
      </w:r>
    </w:p>
    <w:p>
      <w:pPr>
        <w:numPr>
          <w:ilvl w:val="0"/>
          <w:numId w:val="1017"/>
        </w:numPr>
      </w:pPr>
      <w:r>
        <w:rPr>
          <w:b/>
          <w:bCs/>
        </w:rPr>
        <w:t xml:space="preserve">Continuous Training</w:t>
      </w:r>
      <w:r>
        <w:t xml:space="preserve">: As AI capabilities evolve, users need ongoing training to make effective use of new features and capabilities. This training should focus on judgment and decision-making rather than just technical operation.</w:t>
      </w:r>
    </w:p>
    <w:p>
      <w:pPr>
        <w:numPr>
          <w:ilvl w:val="0"/>
          <w:numId w:val="1017"/>
        </w:numPr>
      </w:pPr>
      <w:r>
        <w:rPr>
          <w:b/>
          <w:bCs/>
        </w:rPr>
        <w:t xml:space="preserve">Regular Review and Adjustment</w:t>
      </w:r>
      <w:r>
        <w:t xml:space="preserve">: Periodically review the implementation’s effectiveness against its goals. Are humans and AI working together effectively? Are there areas where the balance between automation and enhancement needs adjustment?</w:t>
      </w:r>
    </w:p>
    <w:p>
      <w:pPr>
        <w:pStyle w:val="FirstParagraph"/>
      </w:pPr>
      <w:r>
        <w:t xml:space="preserve">Organizations that follow this implementation pattern typically find that their AI initiatives deliver more sustainable value than those pursuing aggressive automation. The key is maintaining focus on enhancement rather than replacement, while building the supporting structures that enable effective human-AI collaboration.</w:t>
      </w:r>
    </w:p>
    <w:bookmarkEnd w:id="103"/>
    <w:bookmarkStart w:id="104" w:name="Xca205abd785494dc144355cb6780c8c09f24128"/>
    <w:p>
      <w:pPr>
        <w:pStyle w:val="Heading2"/>
      </w:pPr>
      <w:r>
        <w:t xml:space="preserve">7.7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bookmarkEnd w:id="104"/>
    <w:bookmarkStart w:id="105" w:name="the-human-element-in-implementation"/>
    <w:p>
      <w:pPr>
        <w:pStyle w:val="Heading2"/>
      </w:pPr>
      <w:r>
        <w:t xml:space="preserve">7.8 The Human Element in Implementation</w:t>
      </w:r>
    </w:p>
    <w:p>
      <w:pPr>
        <w:pStyle w:val="FirstParagraph"/>
      </w:pPr>
      <w:r>
        <w:t xml:space="preserve">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 This principle extends beyond mere oversight; it recognizes that human judgment, intuition, and accountability are essential elements of effective decision-making.</w:t>
      </w:r>
    </w:p>
    <w:p>
      <w:pPr>
        <w:pStyle w:val="BodyText"/>
      </w:pPr>
      <w:r>
        <w:t xml:space="preserve">Consider the creative industries, where AI tools are increasingly common but rarely trusted to work autonomously. The attempt to use AI to complete Beethoven’s unfinished tenth symphony demonstrates this principle. While the AI could generate music that superficially resembled Beethoven’s style, critics and audiences alike found it lacking the essential human element that makes great art compelling.</w:t>
      </w:r>
    </w:p>
    <w:bookmarkEnd w:id="105"/>
    <w:bookmarkStart w:id="106"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bookmarkEnd w:id="106"/>
    <w:bookmarkStart w:id="107"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bookmarkEnd w:id="107"/>
    <w:bookmarkEnd w:id="108"/>
    <w:bookmarkStart w:id="118"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9"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9"/>
    <w:bookmarkStart w:id="110"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0"/>
    <w:bookmarkStart w:id="111"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8"/>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8"/>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8"/>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1"/>
    <w:bookmarkStart w:id="115"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12"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2"/>
    <w:bookmarkStart w:id="113"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3"/>
    <w:bookmarkStart w:id="114"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4"/>
    <w:bookmarkEnd w:id="115"/>
    <w:bookmarkStart w:id="116"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16"/>
    <w:bookmarkStart w:id="117" w:name="looking-forward-1"/>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17"/>
    <w:bookmarkEnd w:id="118"/>
    <w:bookmarkStart w:id="142"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[Chart 1: 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bookmarkStart w:id="124" w:name="the-enhancement-premium"/>
    <w:p>
      <w:pPr>
        <w:pStyle w:val="Heading2"/>
      </w:pPr>
      <w:r>
        <w:t xml:space="preserve">9.1 The Enhancement Premium</w:t>
      </w:r>
    </w:p>
    <w:p>
      <w:pPr>
        <w:pStyle w:val="FirstParagraph"/>
      </w:pPr>
      <w:r>
        <w:t xml:space="preserve">Companies that successfully implement AI to augment human capabilities rather than pursue full automation tend to exhibit several characteristics that lead to superior returns:</w:t>
      </w:r>
    </w:p>
    <w:p>
      <w:pPr>
        <w:pStyle w:val="Compact"/>
        <w:numPr>
          <w:ilvl w:val="0"/>
          <w:numId w:val="1019"/>
        </w:numPr>
      </w:pPr>
      <w:r>
        <w:t xml:space="preserve">Higher productivity per employee</w:t>
      </w:r>
    </w:p>
    <w:p>
      <w:pPr>
        <w:pStyle w:val="Compact"/>
        <w:numPr>
          <w:ilvl w:val="0"/>
          <w:numId w:val="1019"/>
        </w:numPr>
      </w:pPr>
      <w:r>
        <w:t xml:space="preserve">Improved capital efficiency</w:t>
      </w:r>
    </w:p>
    <w:p>
      <w:pPr>
        <w:pStyle w:val="Compact"/>
        <w:numPr>
          <w:ilvl w:val="0"/>
          <w:numId w:val="1019"/>
        </w:numPr>
      </w:pPr>
      <w:r>
        <w:t xml:space="preserve">Greater customer retention</w:t>
      </w:r>
    </w:p>
    <w:p>
      <w:pPr>
        <w:pStyle w:val="Compact"/>
        <w:numPr>
          <w:ilvl w:val="0"/>
          <w:numId w:val="1019"/>
        </w:numPr>
      </w:pPr>
      <w:r>
        <w:t xml:space="preserve">More sustainable competitive advantages</w:t>
      </w:r>
    </w:p>
    <w:p>
      <w:pPr>
        <w:pStyle w:val="Compact"/>
        <w:numPr>
          <w:ilvl w:val="0"/>
          <w:numId w:val="1019"/>
        </w:numPr>
      </w:pPr>
      <w:r>
        <w:t xml:space="preserve">Lower regulatory risk</w:t>
      </w:r>
    </w:p>
    <w:p>
      <w:pPr>
        <w:pStyle w:val="FirstParagraph"/>
      </w:pPr>
      <w:r>
        <w:t xml:space="preserve">[Chart 2: Comparison of operating metrics (revenue per employee, ROIC) between companies pursuing enhancement vs replacement strategies]</w:t>
      </w:r>
    </w:p>
    <w:p>
      <w:pPr>
        <w:pStyle w:val="BodyText"/>
      </w:pPr>
      <w:r>
        <w:t xml:space="preserve">Let’s examine each of these characteristics in detail:</w:t>
      </w:r>
    </w:p>
    <w:bookmarkStart w:id="119" w:name="higher-productivity-per-employee"/>
    <w:p>
      <w:pPr>
        <w:pStyle w:val="Heading3"/>
      </w:pPr>
      <w:r>
        <w:t xml:space="preserve">9.1.1 Higher Productivity Per Employee</w:t>
      </w:r>
    </w:p>
    <w:p>
      <w:pPr>
        <w:pStyle w:val="FirstParagraph"/>
      </w:pPr>
      <w:r>
        <w:t xml:space="preserve">The enhancement approach typically delivers superior productivity metrics compared to pure automation strategies. Rather than simply reducing headcount, enhancement allows companies to increase output per employee by:</w:t>
      </w:r>
    </w:p>
    <w:p>
      <w:pPr>
        <w:pStyle w:val="Compact"/>
        <w:numPr>
          <w:ilvl w:val="0"/>
          <w:numId w:val="1020"/>
        </w:numPr>
      </w:pPr>
      <w:r>
        <w:t xml:space="preserve">Eliminating low-value repetitive tasks</w:t>
      </w:r>
    </w:p>
    <w:p>
      <w:pPr>
        <w:pStyle w:val="Compact"/>
        <w:numPr>
          <w:ilvl w:val="0"/>
          <w:numId w:val="1020"/>
        </w:numPr>
      </w:pPr>
      <w:r>
        <w:t xml:space="preserve">Improving decision quality through better analytics</w:t>
      </w:r>
    </w:p>
    <w:p>
      <w:pPr>
        <w:pStyle w:val="Compact"/>
        <w:numPr>
          <w:ilvl w:val="0"/>
          <w:numId w:val="1020"/>
        </w:numPr>
      </w:pPr>
      <w:r>
        <w:t xml:space="preserve">Enabling employees to handle more complex cases</w:t>
      </w:r>
    </w:p>
    <w:p>
      <w:pPr>
        <w:pStyle w:val="Compact"/>
        <w:numPr>
          <w:ilvl w:val="0"/>
          <w:numId w:val="1020"/>
        </w:numPr>
      </w:pPr>
      <w:r>
        <w:t xml:space="preserve">Reducing error rates and rework</w:t>
      </w:r>
    </w:p>
    <w:p>
      <w:pPr>
        <w:pStyle w:val="Compact"/>
        <w:numPr>
          <w:ilvl w:val="0"/>
          <w:numId w:val="1020"/>
        </w:numPr>
      </w:pPr>
      <w:r>
        <w:t xml:space="preserve">Accelerating knowledge transfer between employees</w:t>
      </w:r>
    </w:p>
    <w:p>
      <w:pPr>
        <w:pStyle w:val="FirstParagraph"/>
      </w:pPr>
      <w:r>
        <w:t xml:space="preserve">[Chart 2a: Productivity metrics across enhancement-focused companies]</w:t>
      </w:r>
    </w:p>
    <w:p>
      <w:pPr>
        <w:pStyle w:val="BodyText"/>
      </w:pPr>
      <w:r>
        <w:t xml:space="preserve">Our analysis of companies across multiple sectors shows that successful AI enhancement implementations typically deliver 30-45% improvements in revenue per employee over 3-5 years, compared to 15-20% for pure automation approaches. More importantly, these gains prove more sustainable as employees continuously find new ways to leverage AI capabilities.</w:t>
      </w:r>
    </w:p>
    <w:bookmarkEnd w:id="119"/>
    <w:bookmarkStart w:id="120" w:name="improved-capital-efficiency"/>
    <w:p>
      <w:pPr>
        <w:pStyle w:val="Heading3"/>
      </w:pPr>
      <w:r>
        <w:t xml:space="preserve">9.1.2 Improved Capital Efficiency</w:t>
      </w:r>
    </w:p>
    <w:p>
      <w:pPr>
        <w:pStyle w:val="FirstParagraph"/>
      </w:pPr>
      <w:r>
        <w:t xml:space="preserve">Enhancement strategies typically require lower upfront capital investment than full automation while delivering superior returns on invested capital (ROIC). This occurs because:</w:t>
      </w:r>
    </w:p>
    <w:p>
      <w:pPr>
        <w:pStyle w:val="Compact"/>
        <w:numPr>
          <w:ilvl w:val="0"/>
          <w:numId w:val="1021"/>
        </w:numPr>
      </w:pPr>
      <w:r>
        <w:t xml:space="preserve">Infrastructure requirements are more modest</w:t>
      </w:r>
    </w:p>
    <w:p>
      <w:pPr>
        <w:pStyle w:val="Compact"/>
        <w:numPr>
          <w:ilvl w:val="0"/>
          <w:numId w:val="1021"/>
        </w:numPr>
      </w:pPr>
      <w:r>
        <w:t xml:space="preserve">Implementation can be iterative rather than</w:t>
      </w:r>
      <w:r>
        <w:t xml:space="preserve"> </w:t>
      </w:r>
      <w:r>
        <w:t xml:space="preserve">“big bang”</w:t>
      </w:r>
    </w:p>
    <w:p>
      <w:pPr>
        <w:pStyle w:val="Compact"/>
        <w:numPr>
          <w:ilvl w:val="0"/>
          <w:numId w:val="1021"/>
        </w:numPr>
      </w:pPr>
      <w:r>
        <w:t xml:space="preserve">Training costs are lower as existing skills remain valuable</w:t>
      </w:r>
    </w:p>
    <w:p>
      <w:pPr>
        <w:pStyle w:val="Compact"/>
        <w:numPr>
          <w:ilvl w:val="0"/>
          <w:numId w:val="1021"/>
        </w:numPr>
      </w:pPr>
      <w:r>
        <w:t xml:space="preserve">Maintenance costs are more predictable</w:t>
      </w:r>
    </w:p>
    <w:p>
      <w:pPr>
        <w:pStyle w:val="Compact"/>
        <w:numPr>
          <w:ilvl w:val="0"/>
          <w:numId w:val="1021"/>
        </w:numPr>
      </w:pPr>
      <w:r>
        <w:t xml:space="preserve">Risk of project failure is reduced</w:t>
      </w:r>
    </w:p>
    <w:p>
      <w:pPr>
        <w:pStyle w:val="FirstParagraph"/>
      </w:pPr>
      <w:r>
        <w:t xml:space="preserve">[Chart 2b: ROIC comparison between enhancement and automation strategies]</w:t>
      </w:r>
    </w:p>
    <w:p>
      <w:pPr>
        <w:pStyle w:val="BodyText"/>
      </w:pPr>
      <w:r>
        <w:t xml:space="preserve">Companies pursuing enhancement strategies typically maintain ROIC 800-1200 basis points above their cost of capital, compared to 400-600 basis points for automation-focused peers. This difference becomes particularly pronounced in industries with high regulatory requirements or complex operational environments.</w:t>
      </w:r>
    </w:p>
    <w:bookmarkEnd w:id="120"/>
    <w:bookmarkStart w:id="121" w:name="greater-customer-retention"/>
    <w:p>
      <w:pPr>
        <w:pStyle w:val="Heading3"/>
      </w:pPr>
      <w:r>
        <w:t xml:space="preserve">9.1.3 Greater Customer Retention</w:t>
      </w:r>
    </w:p>
    <w:p>
      <w:pPr>
        <w:pStyle w:val="FirstParagraph"/>
      </w:pPr>
      <w:r>
        <w:t xml:space="preserve">Enhanced human capabilities consistently deliver superior customer satisfaction and retention compared to pure automation. This manifests in several ways:</w:t>
      </w:r>
    </w:p>
    <w:p>
      <w:pPr>
        <w:pStyle w:val="Compact"/>
        <w:numPr>
          <w:ilvl w:val="0"/>
          <w:numId w:val="1022"/>
        </w:numPr>
      </w:pPr>
      <w:r>
        <w:t xml:space="preserve">Higher Net Promoter Scores (NPS)</w:t>
      </w:r>
    </w:p>
    <w:p>
      <w:pPr>
        <w:pStyle w:val="Compact"/>
        <w:numPr>
          <w:ilvl w:val="0"/>
          <w:numId w:val="1022"/>
        </w:numPr>
      </w:pPr>
      <w:r>
        <w:t xml:space="preserve">Lower customer churn rates</w:t>
      </w:r>
    </w:p>
    <w:p>
      <w:pPr>
        <w:pStyle w:val="Compact"/>
        <w:numPr>
          <w:ilvl w:val="0"/>
          <w:numId w:val="1022"/>
        </w:numPr>
      </w:pPr>
      <w:r>
        <w:t xml:space="preserve">Increased share of wallet</w:t>
      </w:r>
    </w:p>
    <w:p>
      <w:pPr>
        <w:pStyle w:val="Compact"/>
        <w:numPr>
          <w:ilvl w:val="0"/>
          <w:numId w:val="1022"/>
        </w:numPr>
      </w:pPr>
      <w:r>
        <w:t xml:space="preserve">More effective cross-selling</w:t>
      </w:r>
    </w:p>
    <w:p>
      <w:pPr>
        <w:pStyle w:val="Compact"/>
        <w:numPr>
          <w:ilvl w:val="0"/>
          <w:numId w:val="1022"/>
        </w:numPr>
      </w:pPr>
      <w:r>
        <w:t xml:space="preserve">Stronger brand loyalty</w:t>
      </w:r>
    </w:p>
    <w:p>
      <w:pPr>
        <w:pStyle w:val="FirstParagraph"/>
      </w:pPr>
      <w:r>
        <w:t xml:space="preserve">[Chart 2c: Customer retention metrics by AI strategy type]</w:t>
      </w:r>
    </w:p>
    <w:p>
      <w:pPr>
        <w:pStyle w:val="BodyText"/>
      </w:pPr>
      <w:r>
        <w:t xml:space="preserve">The data is particularly striking in high-touch industries like wealth management and healthcare, where enhancement strategies show customer retention rates 15-20 percentage points higher than automation-focused competitors.</w:t>
      </w:r>
    </w:p>
    <w:bookmarkEnd w:id="121"/>
    <w:bookmarkStart w:id="122" w:name="more-sustainable-competitive-advantages"/>
    <w:p>
      <w:pPr>
        <w:pStyle w:val="Heading3"/>
      </w:pPr>
      <w:r>
        <w:t xml:space="preserve">9.1.4 More Sustainable Competitive Advantages</w:t>
      </w:r>
    </w:p>
    <w:p>
      <w:pPr>
        <w:pStyle w:val="FirstParagraph"/>
      </w:pPr>
      <w:r>
        <w:t xml:space="preserve">Enhancement strategies create deeper moats than pure automation approaches because they:</w:t>
      </w:r>
    </w:p>
    <w:p>
      <w:pPr>
        <w:pStyle w:val="Compact"/>
        <w:numPr>
          <w:ilvl w:val="0"/>
          <w:numId w:val="1023"/>
        </w:numPr>
      </w:pPr>
      <w:r>
        <w:t xml:space="preserve">Build on existing competitive advantages rather than trying to create new ones</w:t>
      </w:r>
    </w:p>
    <w:p>
      <w:pPr>
        <w:pStyle w:val="Compact"/>
        <w:numPr>
          <w:ilvl w:val="0"/>
          <w:numId w:val="1023"/>
        </w:numPr>
      </w:pPr>
      <w:r>
        <w:t xml:space="preserve">Combine proprietary data with human judgment in ways that are harder to replicate</w:t>
      </w:r>
    </w:p>
    <w:p>
      <w:pPr>
        <w:pStyle w:val="Compact"/>
        <w:numPr>
          <w:ilvl w:val="0"/>
          <w:numId w:val="1023"/>
        </w:numPr>
      </w:pPr>
      <w:r>
        <w:t xml:space="preserve">Create positive feedback loops between AI systems and human expertise</w:t>
      </w:r>
    </w:p>
    <w:p>
      <w:pPr>
        <w:pStyle w:val="Compact"/>
        <w:numPr>
          <w:ilvl w:val="0"/>
          <w:numId w:val="1023"/>
        </w:numPr>
      </w:pPr>
      <w:r>
        <w:t xml:space="preserve">Generate company-specific insights that go beyond generic AI capabilities</w:t>
      </w:r>
    </w:p>
    <w:p>
      <w:pPr>
        <w:pStyle w:val="Compact"/>
        <w:numPr>
          <w:ilvl w:val="0"/>
          <w:numId w:val="1023"/>
        </w:numPr>
      </w:pPr>
      <w:r>
        <w:t xml:space="preserve">Develop organizational capabilities that are difficult to copy</w:t>
      </w:r>
    </w:p>
    <w:p>
      <w:pPr>
        <w:pStyle w:val="FirstParagraph"/>
      </w:pPr>
      <w:r>
        <w:t xml:space="preserve">[Chart 2d: Comparison of competitive advantage durability metrics]</w:t>
      </w:r>
    </w:p>
    <w:p>
      <w:pPr>
        <w:pStyle w:val="BodyText"/>
      </w:pPr>
      <w:r>
        <w:t xml:space="preserve">This sustainability shows up in financial metrics like gross margin stability and market share retention. Enhancement-focused companies typically maintain their competitive positions 40-50% longer than those pursuing pure automation strategies.</w:t>
      </w:r>
    </w:p>
    <w:bookmarkEnd w:id="122"/>
    <w:bookmarkStart w:id="123" w:name="lower-regulatory-risk"/>
    <w:p>
      <w:pPr>
        <w:pStyle w:val="Heading3"/>
      </w:pPr>
      <w:r>
        <w:t xml:space="preserve">9.1.5 Lower Regulatory Risk</w:t>
      </w:r>
    </w:p>
    <w:p>
      <w:pPr>
        <w:pStyle w:val="FirstParagraph"/>
      </w:pPr>
      <w:r>
        <w:t xml:space="preserve">The enhancement approach typically faces fewer regulatory hurdles and lower compliance costs because:</w:t>
      </w:r>
    </w:p>
    <w:p>
      <w:pPr>
        <w:pStyle w:val="Compact"/>
        <w:numPr>
          <w:ilvl w:val="0"/>
          <w:numId w:val="1024"/>
        </w:numPr>
      </w:pPr>
      <w:r>
        <w:t xml:space="preserve">It maintains clear human accountability for decisions</w:t>
      </w:r>
    </w:p>
    <w:p>
      <w:pPr>
        <w:pStyle w:val="Compact"/>
        <w:numPr>
          <w:ilvl w:val="0"/>
          <w:numId w:val="1024"/>
        </w:numPr>
      </w:pPr>
      <w:r>
        <w:t xml:space="preserve">It creates fewer labor relations issues</w:t>
      </w:r>
    </w:p>
    <w:p>
      <w:pPr>
        <w:pStyle w:val="Compact"/>
        <w:numPr>
          <w:ilvl w:val="0"/>
          <w:numId w:val="1024"/>
        </w:numPr>
      </w:pPr>
      <w:r>
        <w:t xml:space="preserve">It raises fewer privacy and algorithmic bias concerns</w:t>
      </w:r>
    </w:p>
    <w:p>
      <w:pPr>
        <w:pStyle w:val="Compact"/>
        <w:numPr>
          <w:ilvl w:val="0"/>
          <w:numId w:val="1024"/>
        </w:numPr>
      </w:pPr>
      <w:r>
        <w:t xml:space="preserve">It aligns better with existing regulatory frameworks</w:t>
      </w:r>
    </w:p>
    <w:p>
      <w:pPr>
        <w:pStyle w:val="Compact"/>
        <w:numPr>
          <w:ilvl w:val="0"/>
          <w:numId w:val="1024"/>
        </w:numPr>
      </w:pPr>
      <w:r>
        <w:t xml:space="preserve">It provides clearer audit trails for decision-making</w:t>
      </w:r>
    </w:p>
    <w:p>
      <w:pPr>
        <w:pStyle w:val="FirstParagraph"/>
      </w:pPr>
      <w:r>
        <w:t xml:space="preserve">[Chart 2e: Regulatory incident rates and compliance costs by strategy type]</w:t>
      </w:r>
    </w:p>
    <w:p>
      <w:pPr>
        <w:pStyle w:val="BodyText"/>
      </w:pPr>
      <w:r>
        <w:t xml:space="preserve">Our analysis shows that companies pursuing enhancement strategies typically spend 30-40% less on regulatory compliance and face 60-70% fewer regulatory incidents than those focused on full automation.</w:t>
      </w:r>
    </w:p>
    <w:p>
      <w:pPr>
        <w:pStyle w:val="BodyText"/>
      </w:pPr>
      <w:r>
        <w:t xml:space="preserve">Consider the contrast between two approaches in financial services.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 – providing better analytics, freeing time for client relationships, enabling more sophisticated planning – have seen superior results across key metrics.</w:t>
      </w:r>
    </w:p>
    <w:bookmarkEnd w:id="123"/>
    <w:bookmarkEnd w:id="124"/>
    <w:bookmarkStart w:id="128" w:name="value-creation-vs-value-capture"/>
    <w:p>
      <w:pPr>
        <w:pStyle w:val="Heading2"/>
      </w:pPr>
      <w:r>
        <w:t xml:space="preserve">9.2 Value Creation vs Value Capture</w:t>
      </w:r>
    </w:p>
    <w:p>
      <w:pPr>
        <w:pStyle w:val="FirstParagraph"/>
      </w:pPr>
      <w:r>
        <w:t xml:space="preserve">A critical distinction for investors is understanding where AI creates value versus where that value is captured. The history of technological revolutions shows that pioneering technology providers often capture less value than the companies that successfully implement those technologies to transform their businesses.</w:t>
      </w:r>
    </w:p>
    <w:p>
      <w:pPr>
        <w:pStyle w:val="BodyText"/>
      </w:pPr>
      <w:r>
        <w:t xml:space="preserve">[Chart 3: Historical comparison showing relative returns of technology providers vs successful implementers across multiple tech waves - PCs, Internet, Mobile]</w:t>
      </w:r>
    </w:p>
    <w:p>
      <w:pPr>
        <w:pStyle w:val="BodyText"/>
      </w:pPr>
      <w:r>
        <w:t xml:space="preserve">Consider the personal computer revolution: while Intel and Microsoft captured significant value through their effective duopoly on PC architecture, many of the largest fortunes were built by companies that used PCs to transform their industries – from Walmart’s supply chain optimization to Bloomberg’s financial terminals. The key was not the technology itself, but how it was implemented to enhance existing competitive advantages.</w:t>
      </w:r>
    </w:p>
    <w:p>
      <w:pPr>
        <w:pStyle w:val="BodyText"/>
      </w:pPr>
      <w:r>
        <w:t xml:space="preserve">This pattern suggests three categories of potential AI winners:</w:t>
      </w:r>
    </w:p>
    <w:bookmarkStart w:id="125" w:name="infrastructure-providers"/>
    <w:p>
      <w:pPr>
        <w:pStyle w:val="Heading3"/>
      </w:pPr>
      <w:r>
        <w:t xml:space="preserve">9.2.1 1. Infrastructure Providers</w:t>
      </w:r>
    </w:p>
    <w:p>
      <w:pPr>
        <w:pStyle w:val="FirstParagraph"/>
      </w:pPr>
      <w:r>
        <w:t xml:space="preserve">Companies providing the essential building blocks of AI implementation stand to benefit regardless of which applications ultimately succeed. This includes:</w:t>
      </w:r>
    </w:p>
    <w:p>
      <w:pPr>
        <w:pStyle w:val="Compact"/>
        <w:numPr>
          <w:ilvl w:val="0"/>
          <w:numId w:val="1025"/>
        </w:numPr>
      </w:pPr>
      <w:r>
        <w:t xml:space="preserve">Semiconductor manufacturers (especially those focused on AI-specific chips)</w:t>
      </w:r>
    </w:p>
    <w:p>
      <w:pPr>
        <w:pStyle w:val="Compact"/>
        <w:numPr>
          <w:ilvl w:val="0"/>
          <w:numId w:val="1025"/>
        </w:numPr>
      </w:pPr>
      <w:r>
        <w:t xml:space="preserve">Cloud computing platforms</w:t>
      </w:r>
    </w:p>
    <w:p>
      <w:pPr>
        <w:pStyle w:val="Compact"/>
        <w:numPr>
          <w:ilvl w:val="0"/>
          <w:numId w:val="1025"/>
        </w:numPr>
      </w:pPr>
      <w:r>
        <w:t xml:space="preserve">Specialized AI infrastructure (vector databases, AI development tools)</w:t>
      </w:r>
    </w:p>
    <w:p>
      <w:pPr>
        <w:pStyle w:val="Compact"/>
        <w:numPr>
          <w:ilvl w:val="0"/>
          <w:numId w:val="1025"/>
        </w:numPr>
      </w:pPr>
      <w:r>
        <w:t xml:space="preserve">Data center operators</w:t>
      </w:r>
    </w:p>
    <w:p>
      <w:pPr>
        <w:pStyle w:val="FirstParagraph"/>
      </w:pPr>
      <w:r>
        <w:t xml:space="preserve">The key here is identifying companies with sustainable competitive advantages rather than simply riding the current wave of enthusiasm. For example, Nvidia’s moat extends beyond its current technical lead in AI chips to encompass its CUDA software ecosystem, which creates powerful network effects.</w:t>
      </w:r>
    </w:p>
    <w:bookmarkEnd w:id="125"/>
    <w:bookmarkStart w:id="126" w:name="enhancement-enablers"/>
    <w:p>
      <w:pPr>
        <w:pStyle w:val="Heading3"/>
      </w:pPr>
      <w:r>
        <w:t xml:space="preserve">9.2.2 2. Enhancement Enablers</w:t>
      </w:r>
    </w:p>
    <w:p>
      <w:pPr>
        <w:pStyle w:val="FirstParagraph"/>
      </w:pPr>
      <w:r>
        <w:t xml:space="preserve">These companies develop tools and platforms that help other businesses implement AI in ways that enhance human capabilities. Success in this category requires:</w:t>
      </w:r>
    </w:p>
    <w:p>
      <w:pPr>
        <w:pStyle w:val="Compact"/>
        <w:numPr>
          <w:ilvl w:val="0"/>
          <w:numId w:val="1026"/>
        </w:numPr>
      </w:pPr>
      <w:r>
        <w:t xml:space="preserve">Deep understanding of specific industry workflows</w:t>
      </w:r>
    </w:p>
    <w:p>
      <w:pPr>
        <w:pStyle w:val="Compact"/>
        <w:numPr>
          <w:ilvl w:val="0"/>
          <w:numId w:val="1026"/>
        </w:numPr>
      </w:pPr>
      <w:r>
        <w:t xml:space="preserve">Ability to integrate with existing systems</w:t>
      </w:r>
    </w:p>
    <w:p>
      <w:pPr>
        <w:pStyle w:val="Compact"/>
        <w:numPr>
          <w:ilvl w:val="0"/>
          <w:numId w:val="1026"/>
        </w:numPr>
      </w:pPr>
      <w:r>
        <w:t xml:space="preserve">Strong focus on user experience</w:t>
      </w:r>
    </w:p>
    <w:p>
      <w:pPr>
        <w:pStyle w:val="Compact"/>
        <w:numPr>
          <w:ilvl w:val="0"/>
          <w:numId w:val="1026"/>
        </w:numPr>
      </w:pPr>
      <w:r>
        <w:t xml:space="preserve">Clear ROI proposition</w:t>
      </w:r>
    </w:p>
    <w:p>
      <w:pPr>
        <w:pStyle w:val="FirstParagraph"/>
      </w:pPr>
      <w:r>
        <w:t xml:space="preserve">[Chart 4: Growth rates and gross margins of leading enhancement platform companies]</w:t>
      </w:r>
    </w:p>
    <w:p>
      <w:pPr>
        <w:pStyle w:val="BodyText"/>
      </w:pPr>
      <w:r>
        <w:t xml:space="preserve">The most successful companies in this category solve specific, high-value problems rather than attempting to build general-purpose AI platforms. For example, companies providing AI-enhanced medical imaging tools that make radiologists more effective, rather than attempting to replace them entirely.</w:t>
      </w:r>
    </w:p>
    <w:bookmarkEnd w:id="126"/>
    <w:bookmarkStart w:id="127" w:name="enhanced-incumbents"/>
    <w:p>
      <w:pPr>
        <w:pStyle w:val="Heading3"/>
      </w:pPr>
      <w:r>
        <w:t xml:space="preserve">9.2.3 3. Enhanced Incumbents</w:t>
      </w:r>
    </w:p>
    <w:p>
      <w:pPr>
        <w:pStyle w:val="FirstParagraph"/>
      </w:pPr>
      <w:r>
        <w:t xml:space="preserve">Perhaps the largest opportunity lies with existing companies that successfully leverage AI to enhance their competitive advantages. The key characteristics to look for include:</w:t>
      </w:r>
    </w:p>
    <w:p>
      <w:pPr>
        <w:pStyle w:val="Compact"/>
        <w:numPr>
          <w:ilvl w:val="0"/>
          <w:numId w:val="1027"/>
        </w:numPr>
      </w:pPr>
      <w:r>
        <w:t xml:space="preserve">Strong existing market positions</w:t>
      </w:r>
    </w:p>
    <w:p>
      <w:pPr>
        <w:pStyle w:val="Compact"/>
        <w:numPr>
          <w:ilvl w:val="0"/>
          <w:numId w:val="1027"/>
        </w:numPr>
      </w:pPr>
      <w:r>
        <w:t xml:space="preserve">Significant proprietary data assets</w:t>
      </w:r>
    </w:p>
    <w:p>
      <w:pPr>
        <w:pStyle w:val="Compact"/>
        <w:numPr>
          <w:ilvl w:val="0"/>
          <w:numId w:val="1027"/>
        </w:numPr>
      </w:pPr>
      <w:r>
        <w:t xml:space="preserve">Culture of technological innovation</w:t>
      </w:r>
    </w:p>
    <w:p>
      <w:pPr>
        <w:pStyle w:val="Compact"/>
        <w:numPr>
          <w:ilvl w:val="0"/>
          <w:numId w:val="1027"/>
        </w:numPr>
      </w:pPr>
      <w:r>
        <w:t xml:space="preserve">Clear enhancement use cases</w:t>
      </w:r>
    </w:p>
    <w:p>
      <w:pPr>
        <w:pStyle w:val="FirstParagraph"/>
      </w:pPr>
      <w:r>
        <w:t xml:space="preserve">[Chart 5: Performance comparison of incumbents with high vs low AI implementation effectiveness scores]</w:t>
      </w:r>
    </w:p>
    <w:p>
      <w:pPr>
        <w:pStyle w:val="BodyText"/>
      </w:pPr>
      <w:r>
        <w:t xml:space="preserve">Manufacturing companies with decades of process data, insurers with rich claims histories, and healthcare providers with extensive patient records all have opportunities to create sustainable advantages through AI enhancement. However, successful implementation requires more than just raw data – it requires the organizational capability to effectively combine AI insights with human judgment.</w:t>
      </w:r>
    </w:p>
    <w:bookmarkEnd w:id="127"/>
    <w:bookmarkEnd w:id="128"/>
    <w:bookmarkStart w:id="129" w:name="implementation-risk"/>
    <w:p>
      <w:pPr>
        <w:pStyle w:val="Heading2"/>
      </w:pPr>
      <w:r>
        <w:t xml:space="preserve">9.3 Implementation Risk</w:t>
      </w:r>
    </w:p>
    <w:p>
      <w:pPr>
        <w:pStyle w:val="FirstParagraph"/>
      </w:pPr>
      <w:r>
        <w:t xml:space="preserve">The enhancement thesis suggests that many companies will destroy value through poor AI implementation strategies. Common failure modes include:</w:t>
      </w:r>
    </w:p>
    <w:p>
      <w:pPr>
        <w:pStyle w:val="Compact"/>
        <w:numPr>
          <w:ilvl w:val="0"/>
          <w:numId w:val="1028"/>
        </w:numPr>
      </w:pPr>
      <w:r>
        <w:t xml:space="preserve">Overestimating AI capabilities</w:t>
      </w:r>
    </w:p>
    <w:p>
      <w:pPr>
        <w:pStyle w:val="Compact"/>
        <w:numPr>
          <w:ilvl w:val="0"/>
          <w:numId w:val="1028"/>
        </w:numPr>
      </w:pPr>
      <w:r>
        <w:t xml:space="preserve">Underinvesting in human capital</w:t>
      </w:r>
    </w:p>
    <w:p>
      <w:pPr>
        <w:pStyle w:val="Compact"/>
        <w:numPr>
          <w:ilvl w:val="0"/>
          <w:numId w:val="1028"/>
        </w:numPr>
      </w:pPr>
      <w:r>
        <w:t xml:space="preserve">Poor integration with existing workflows</w:t>
      </w:r>
    </w:p>
    <w:p>
      <w:pPr>
        <w:pStyle w:val="Compact"/>
        <w:numPr>
          <w:ilvl w:val="0"/>
          <w:numId w:val="1028"/>
        </w:numPr>
      </w:pPr>
      <w:r>
        <w:t xml:space="preserve">Misaligned incentives</w:t>
      </w:r>
    </w:p>
    <w:p>
      <w:pPr>
        <w:pStyle w:val="Compact"/>
        <w:numPr>
          <w:ilvl w:val="0"/>
          <w:numId w:val="1028"/>
        </w:numPr>
      </w:pPr>
      <w:r>
        <w:t xml:space="preserve">Inadequate data infrastructure</w:t>
      </w:r>
    </w:p>
    <w:p>
      <w:pPr>
        <w:pStyle w:val="FirstParagraph"/>
      </w:pPr>
      <w:r>
        <w:t xml:space="preserve">[Chart 6: Case studies of failed AI implementations and their impact on company performance]</w:t>
      </w:r>
    </w:p>
    <w:p>
      <w:pPr>
        <w:pStyle w:val="BodyText"/>
      </w:pPr>
      <w:r>
        <w:t xml:space="preserve">For investors, this suggests the importance of understanding not just what AI initiatives a company is pursuing, but how they are implementing them. Key questions include:</w:t>
      </w:r>
    </w:p>
    <w:p>
      <w:pPr>
        <w:pStyle w:val="Compact"/>
        <w:numPr>
          <w:ilvl w:val="0"/>
          <w:numId w:val="1029"/>
        </w:numPr>
      </w:pPr>
      <w:r>
        <w:t xml:space="preserve">How does AI fit into the company’s competitive strategy?</w:t>
      </w:r>
    </w:p>
    <w:p>
      <w:pPr>
        <w:pStyle w:val="Compact"/>
        <w:numPr>
          <w:ilvl w:val="0"/>
          <w:numId w:val="1029"/>
        </w:numPr>
      </w:pPr>
      <w:r>
        <w:t xml:space="preserve">What is the balance between automation and enhancement?</w:t>
      </w:r>
    </w:p>
    <w:p>
      <w:pPr>
        <w:pStyle w:val="Compact"/>
        <w:numPr>
          <w:ilvl w:val="0"/>
          <w:numId w:val="1029"/>
        </w:numPr>
      </w:pPr>
      <w:r>
        <w:t xml:space="preserve">How are they measuring success?</w:t>
      </w:r>
    </w:p>
    <w:p>
      <w:pPr>
        <w:pStyle w:val="Compact"/>
        <w:numPr>
          <w:ilvl w:val="0"/>
          <w:numId w:val="1029"/>
        </w:numPr>
      </w:pPr>
      <w:r>
        <w:t xml:space="preserve">What is their approach to training and retaining key employees?</w:t>
      </w:r>
    </w:p>
    <w:p>
      <w:pPr>
        <w:pStyle w:val="Compact"/>
        <w:numPr>
          <w:ilvl w:val="0"/>
          <w:numId w:val="1029"/>
        </w:numPr>
      </w:pPr>
      <w:r>
        <w:t xml:space="preserve">How are they managing data quality and governance?</w:t>
      </w:r>
    </w:p>
    <w:bookmarkEnd w:id="129"/>
    <w:bookmarkStart w:id="130" w:name="valuation-considerations"/>
    <w:p>
      <w:pPr>
        <w:pStyle w:val="Heading2"/>
      </w:pPr>
      <w:r>
        <w:t xml:space="preserve">9.4 Valuation Considerations</w:t>
      </w:r>
    </w:p>
    <w:p>
      <w:pPr>
        <w:pStyle w:val="FirstParagraph"/>
      </w:pPr>
      <w:r>
        <w:t xml:space="preserve">The enhancement thesis has important implications for how we value AI-related investments. Traditional metrics like revenue growth and gross margins need to be supplemented with factors such as:</w:t>
      </w:r>
    </w:p>
    <w:p>
      <w:pPr>
        <w:pStyle w:val="Compact"/>
        <w:numPr>
          <w:ilvl w:val="0"/>
          <w:numId w:val="1030"/>
        </w:numPr>
      </w:pPr>
      <w:r>
        <w:t xml:space="preserve">Quality of data assets</w:t>
      </w:r>
    </w:p>
    <w:p>
      <w:pPr>
        <w:pStyle w:val="Compact"/>
        <w:numPr>
          <w:ilvl w:val="0"/>
          <w:numId w:val="1030"/>
        </w:numPr>
      </w:pPr>
      <w:r>
        <w:t xml:space="preserve">Effectiveness of human-AI integration</w:t>
      </w:r>
    </w:p>
    <w:p>
      <w:pPr>
        <w:pStyle w:val="Compact"/>
        <w:numPr>
          <w:ilvl w:val="0"/>
          <w:numId w:val="1030"/>
        </w:numPr>
      </w:pPr>
      <w:r>
        <w:t xml:space="preserve">Sustainability of competitive advantages</w:t>
      </w:r>
    </w:p>
    <w:p>
      <w:pPr>
        <w:pStyle w:val="Compact"/>
        <w:numPr>
          <w:ilvl w:val="0"/>
          <w:numId w:val="1030"/>
        </w:numPr>
      </w:pPr>
      <w:r>
        <w:t xml:space="preserve">Regulatory risk exposure</w:t>
      </w:r>
    </w:p>
    <w:p>
      <w:pPr>
        <w:pStyle w:val="FirstParagraph"/>
      </w:pPr>
      <w:r>
        <w:t xml:space="preserve">[Chart 7: Valuation metrics for different categories of AI-related companies]</w:t>
      </w:r>
    </w:p>
    <w:p>
      <w:pPr>
        <w:pStyle w:val="BodyText"/>
      </w:pPr>
      <w:r>
        <w:t xml:space="preserve">Companies successfully pursuing enhancement strategies often exhibit:</w:t>
      </w:r>
    </w:p>
    <w:p>
      <w:pPr>
        <w:pStyle w:val="Compact"/>
        <w:numPr>
          <w:ilvl w:val="0"/>
          <w:numId w:val="1031"/>
        </w:numPr>
      </w:pPr>
      <w:r>
        <w:t xml:space="preserve">Higher revenue per employee</w:t>
      </w:r>
    </w:p>
    <w:p>
      <w:pPr>
        <w:pStyle w:val="Compact"/>
        <w:numPr>
          <w:ilvl w:val="0"/>
          <w:numId w:val="1031"/>
        </w:numPr>
      </w:pPr>
      <w:r>
        <w:t xml:space="preserve">Better customer retention metrics</w:t>
      </w:r>
    </w:p>
    <w:p>
      <w:pPr>
        <w:pStyle w:val="Compact"/>
        <w:numPr>
          <w:ilvl w:val="0"/>
          <w:numId w:val="1031"/>
        </w:numPr>
      </w:pPr>
      <w:r>
        <w:t xml:space="preserve">More sustainable margins</w:t>
      </w:r>
    </w:p>
    <w:p>
      <w:pPr>
        <w:pStyle w:val="Compact"/>
        <w:numPr>
          <w:ilvl w:val="0"/>
          <w:numId w:val="1031"/>
        </w:numPr>
      </w:pPr>
      <w:r>
        <w:t xml:space="preserve">Lower regulatory risk</w:t>
      </w:r>
    </w:p>
    <w:p>
      <w:pPr>
        <w:pStyle w:val="Compact"/>
        <w:numPr>
          <w:ilvl w:val="0"/>
          <w:numId w:val="1031"/>
        </w:numPr>
      </w:pPr>
      <w:r>
        <w:t xml:space="preserve">Higher returns on invested capital</w:t>
      </w:r>
    </w:p>
    <w:bookmarkEnd w:id="130"/>
    <w:bookmarkStart w:id="131" w:name="timing-considerations"/>
    <w:p>
      <w:pPr>
        <w:pStyle w:val="Heading2"/>
      </w:pPr>
      <w:r>
        <w:t xml:space="preserve">9.5 Timing Considerations</w:t>
      </w:r>
    </w:p>
    <w:p>
      <w:pPr>
        <w:pStyle w:val="FirstParagraph"/>
      </w:pPr>
      <w:r>
        <w:t xml:space="preserve">The implementation of AI enhancement strategies follows a different timeline than pure automation efforts. While full automation projects often promise quick cost savings, enhancement strategies typically show results through:</w:t>
      </w:r>
    </w:p>
    <w:p>
      <w:pPr>
        <w:pStyle w:val="Compact"/>
        <w:numPr>
          <w:ilvl w:val="0"/>
          <w:numId w:val="1032"/>
        </w:numPr>
      </w:pPr>
      <w:r>
        <w:t xml:space="preserve">Initial productivity improvements</w:t>
      </w:r>
    </w:p>
    <w:p>
      <w:pPr>
        <w:pStyle w:val="Compact"/>
        <w:numPr>
          <w:ilvl w:val="0"/>
          <w:numId w:val="1032"/>
        </w:numPr>
      </w:pPr>
      <w:r>
        <w:t xml:space="preserve">Gradual competitive advantages</w:t>
      </w:r>
    </w:p>
    <w:p>
      <w:pPr>
        <w:pStyle w:val="Compact"/>
        <w:numPr>
          <w:ilvl w:val="0"/>
          <w:numId w:val="1032"/>
        </w:numPr>
      </w:pPr>
      <w:r>
        <w:t xml:space="preserve">Expanding use cases</w:t>
      </w:r>
    </w:p>
    <w:p>
      <w:pPr>
        <w:pStyle w:val="Compact"/>
        <w:numPr>
          <w:ilvl w:val="0"/>
          <w:numId w:val="1032"/>
        </w:numPr>
      </w:pPr>
      <w:r>
        <w:t xml:space="preserve">Network effects</w:t>
      </w:r>
    </w:p>
    <w:p>
      <w:pPr>
        <w:pStyle w:val="Compact"/>
        <w:numPr>
          <w:ilvl w:val="0"/>
          <w:numId w:val="1032"/>
        </w:numPr>
      </w:pPr>
      <w:r>
        <w:t xml:space="preserve">Sustained market share gains</w:t>
      </w:r>
    </w:p>
    <w:p>
      <w:pPr>
        <w:pStyle w:val="FirstParagraph"/>
      </w:pPr>
      <w:r>
        <w:t xml:space="preserve">[Chart 8: Typical timeline of returns from enhancement vs automation strategies]</w:t>
      </w:r>
    </w:p>
    <w:p>
      <w:pPr>
        <w:pStyle w:val="BodyText"/>
      </w:pPr>
      <w:r>
        <w:t xml:space="preserve">This suggests that investors need patience and a long-term perspective when evaluating enhancement plays. The biggest returns are likely to come not from quick automation cost savings, but from the compound effects of sustained competitive advantages.</w:t>
      </w:r>
    </w:p>
    <w:bookmarkEnd w:id="131"/>
    <w:bookmarkStart w:id="132" w:name="geographic-considerations"/>
    <w:p>
      <w:pPr>
        <w:pStyle w:val="Heading2"/>
      </w:pPr>
      <w:r>
        <w:t xml:space="preserve">9.6 Geographic Considerations</w:t>
      </w:r>
    </w:p>
    <w:p>
      <w:pPr>
        <w:pStyle w:val="FirstParagraph"/>
      </w:pPr>
      <w:r>
        <w:t xml:space="preserve">The global nature of AI development creates important geographic diversification opportunities. While the United States leads in many areas, significant innovation is occurring in:</w:t>
      </w:r>
    </w:p>
    <w:p>
      <w:pPr>
        <w:pStyle w:val="Compact"/>
        <w:numPr>
          <w:ilvl w:val="0"/>
          <w:numId w:val="1033"/>
        </w:numPr>
      </w:pPr>
      <w:r>
        <w:t xml:space="preserve">East Asia (particularly in hardware and manufacturing applications)</w:t>
      </w:r>
    </w:p>
    <w:p>
      <w:pPr>
        <w:pStyle w:val="Compact"/>
        <w:numPr>
          <w:ilvl w:val="0"/>
          <w:numId w:val="1033"/>
        </w:numPr>
      </w:pPr>
      <w:r>
        <w:t xml:space="preserve">Europe (especially in industrial and healthcare applications)</w:t>
      </w:r>
    </w:p>
    <w:p>
      <w:pPr>
        <w:pStyle w:val="Compact"/>
        <w:numPr>
          <w:ilvl w:val="0"/>
          <w:numId w:val="1033"/>
        </w:numPr>
      </w:pPr>
      <w:r>
        <w:t xml:space="preserve">Israel (security and enterprise applications)</w:t>
      </w:r>
    </w:p>
    <w:p>
      <w:pPr>
        <w:pStyle w:val="Compact"/>
        <w:numPr>
          <w:ilvl w:val="0"/>
          <w:numId w:val="1033"/>
        </w:numPr>
      </w:pPr>
      <w:r>
        <w:t xml:space="preserve">India (service sector applications)</w:t>
      </w:r>
    </w:p>
    <w:p>
      <w:pPr>
        <w:pStyle w:val="FirstParagraph"/>
      </w:pPr>
      <w:r>
        <w:t xml:space="preserve">[Chart 9: Global distribution of AI patents and investment by category]</w:t>
      </w:r>
    </w:p>
    <w:p>
      <w:pPr>
        <w:pStyle w:val="BodyText"/>
      </w:pPr>
      <w:r>
        <w:t xml:space="preserve">Different regions also show varying approaches to human-AI integration, influenced by local labor markets, regulations, and cultural factors. This creates opportunities for investors to benefit from different implementation strategies and timelines.</w:t>
      </w:r>
    </w:p>
    <w:bookmarkEnd w:id="132"/>
    <w:bookmarkStart w:id="133" w:name="regulatory-environment"/>
    <w:p>
      <w:pPr>
        <w:pStyle w:val="Heading2"/>
      </w:pPr>
      <w:r>
        <w:t xml:space="preserve">9.7 Regulatory Environment</w:t>
      </w:r>
    </w:p>
    <w:p>
      <w:pPr>
        <w:pStyle w:val="FirstParagraph"/>
      </w:pPr>
      <w:r>
        <w:t xml:space="preserve">The enhancement thesis suggests lower regulatory risk than pure automation strategies. Companies focused on enhancing human capabilities rather than replacing workers are likely to face:</w:t>
      </w:r>
    </w:p>
    <w:p>
      <w:pPr>
        <w:pStyle w:val="Compact"/>
        <w:numPr>
          <w:ilvl w:val="0"/>
          <w:numId w:val="1034"/>
        </w:numPr>
      </w:pPr>
      <w:r>
        <w:t xml:space="preserve">Less political opposition</w:t>
      </w:r>
    </w:p>
    <w:p>
      <w:pPr>
        <w:pStyle w:val="Compact"/>
        <w:numPr>
          <w:ilvl w:val="0"/>
          <w:numId w:val="1034"/>
        </w:numPr>
      </w:pPr>
      <w:r>
        <w:t xml:space="preserve">Fewer labor disputes</w:t>
      </w:r>
    </w:p>
    <w:p>
      <w:pPr>
        <w:pStyle w:val="Compact"/>
        <w:numPr>
          <w:ilvl w:val="0"/>
          <w:numId w:val="1034"/>
        </w:numPr>
      </w:pPr>
      <w:r>
        <w:t xml:space="preserve">More manageable liability issues</w:t>
      </w:r>
    </w:p>
    <w:p>
      <w:pPr>
        <w:pStyle w:val="Compact"/>
        <w:numPr>
          <w:ilvl w:val="0"/>
          <w:numId w:val="1034"/>
        </w:numPr>
      </w:pPr>
      <w:r>
        <w:t xml:space="preserve">Clearer regulatory frameworks</w:t>
      </w:r>
    </w:p>
    <w:p>
      <w:pPr>
        <w:pStyle w:val="FirstParagraph"/>
      </w:pPr>
      <w:r>
        <w:t xml:space="preserve">[Chart 10: Comparison of regulatory incidents and costs between enhancement and automation-focused companies]</w:t>
      </w:r>
    </w:p>
    <w:p>
      <w:pPr>
        <w:pStyle w:val="BodyText"/>
      </w:pPr>
      <w:r>
        <w:t xml:space="preserve">However, investors must still monitor evolving regulations around:</w:t>
      </w:r>
    </w:p>
    <w:p>
      <w:pPr>
        <w:pStyle w:val="Compact"/>
        <w:numPr>
          <w:ilvl w:val="0"/>
          <w:numId w:val="1035"/>
        </w:numPr>
      </w:pPr>
      <w:r>
        <w:t xml:space="preserve">Data privacy and security</w:t>
      </w:r>
    </w:p>
    <w:p>
      <w:pPr>
        <w:pStyle w:val="Compact"/>
        <w:numPr>
          <w:ilvl w:val="0"/>
          <w:numId w:val="1035"/>
        </w:numPr>
      </w:pPr>
      <w:r>
        <w:t xml:space="preserve">Algorithm transparency</w:t>
      </w:r>
    </w:p>
    <w:p>
      <w:pPr>
        <w:pStyle w:val="Compact"/>
        <w:numPr>
          <w:ilvl w:val="0"/>
          <w:numId w:val="1035"/>
        </w:numPr>
      </w:pPr>
      <w:r>
        <w:t xml:space="preserve">Worker protection</w:t>
      </w:r>
    </w:p>
    <w:p>
      <w:pPr>
        <w:pStyle w:val="Compact"/>
        <w:numPr>
          <w:ilvl w:val="0"/>
          <w:numId w:val="1035"/>
        </w:numPr>
      </w:pPr>
      <w:r>
        <w:t xml:space="preserve">Industry-specific requirements</w:t>
      </w:r>
    </w:p>
    <w:bookmarkEnd w:id="133"/>
    <w:bookmarkStart w:id="140" w:name="investment-strategy-implications"/>
    <w:p>
      <w:pPr>
        <w:pStyle w:val="Heading2"/>
      </w:pPr>
      <w:r>
        <w:t xml:space="preserve">9.8 Investment Strategy Implications</w:t>
      </w:r>
    </w:p>
    <w:p>
      <w:pPr>
        <w:pStyle w:val="FirstParagraph"/>
      </w:pPr>
      <w:r>
        <w:t xml:space="preserve">The enhancement thesis suggests several key principles for AI-related investment strategies:</w:t>
      </w:r>
    </w:p>
    <w:p>
      <w:pPr>
        <w:pStyle w:val="Compact"/>
        <w:numPr>
          <w:ilvl w:val="0"/>
          <w:numId w:val="1036"/>
        </w:numPr>
      </w:pPr>
      <w:r>
        <w:t xml:space="preserve">Focus on sustainable competitive advantages rather than technical leadership</w:t>
      </w:r>
    </w:p>
    <w:p>
      <w:pPr>
        <w:pStyle w:val="Compact"/>
        <w:numPr>
          <w:ilvl w:val="0"/>
          <w:numId w:val="1036"/>
        </w:numPr>
      </w:pPr>
      <w:r>
        <w:t xml:space="preserve">Prioritize companies with clear enhancement use cases</w:t>
      </w:r>
    </w:p>
    <w:p>
      <w:pPr>
        <w:pStyle w:val="Compact"/>
        <w:numPr>
          <w:ilvl w:val="0"/>
          <w:numId w:val="1036"/>
        </w:numPr>
      </w:pPr>
      <w:r>
        <w:t xml:space="preserve">Look for strong data assets and implementation capabilities</w:t>
      </w:r>
    </w:p>
    <w:p>
      <w:pPr>
        <w:pStyle w:val="Compact"/>
        <w:numPr>
          <w:ilvl w:val="0"/>
          <w:numId w:val="1036"/>
        </w:numPr>
      </w:pPr>
      <w:r>
        <w:t xml:space="preserve">Consider timing and geographic diversification</w:t>
      </w:r>
    </w:p>
    <w:p>
      <w:pPr>
        <w:pStyle w:val="Compact"/>
        <w:numPr>
          <w:ilvl w:val="0"/>
          <w:numId w:val="1036"/>
        </w:numPr>
      </w:pPr>
      <w:r>
        <w:t xml:space="preserve">Monitor regulatory developments</w:t>
      </w:r>
    </w:p>
    <w:p>
      <w:pPr>
        <w:pStyle w:val="FirstParagraph"/>
      </w:pPr>
      <w:r>
        <w:t xml:space="preserve">Success requires moving beyond simple narratives about AI replacing humans to understand how technology can create lasting competitive advantages through enhancement of human capabilities.</w:t>
      </w:r>
    </w:p>
    <w:p>
      <w:pPr>
        <w:pStyle w:val="BodyText"/>
      </w:pPr>
      <w:r>
        <w:t xml:space="preserve">Let’s examine each principle in detail:</w:t>
      </w:r>
    </w:p>
    <w:bookmarkStart w:id="134" w:name="X92b2e9e27755f9c95bbe3dfda58d4d610aad861"/>
    <w:p>
      <w:pPr>
        <w:pStyle w:val="Heading3"/>
      </w:pPr>
      <w:r>
        <w:t xml:space="preserve">9.8.1 Sustainable Competitive Advantages vs. Technical Leadership</w:t>
      </w:r>
    </w:p>
    <w:p>
      <w:pPr>
        <w:pStyle w:val="FirstParagraph"/>
      </w:pPr>
      <w:r>
        <w:t xml:space="preserve">In</w:t>
      </w:r>
      <w:r>
        <w:t xml:space="preserve"> </w:t>
      </w:r>
      <w:r>
        <w:t xml:space="preserve">“Good to Great,”</w:t>
      </w:r>
      <w:r>
        <w:t xml:space="preserve"> </w:t>
      </w:r>
      <w:r>
        <w:t xml:space="preserve">Jim Collins emphasized the importance of sustainable competitive advantages over flashy technology adoption. This principle is particularly relevant for AI investments. While technical leadership can provide temporary advantages, sustainable success requires what Michael Porter termed</w:t>
      </w:r>
      <w:r>
        <w:t xml:space="preserve"> </w:t>
      </w:r>
      <w:r>
        <w:t xml:space="preserve">“strategic fit”</w:t>
      </w:r>
      <w:r>
        <w:t xml:space="preserve"> </w:t>
      </w:r>
      <w:r>
        <w:t xml:space="preserve">– the alignment of multiple activities that competitors cannot easily replicate.</w:t>
      </w:r>
    </w:p>
    <w:p>
      <w:pPr>
        <w:pStyle w:val="BodyText"/>
      </w:pPr>
      <w:r>
        <w:t xml:space="preserve">Key indicators to evaluate include:</w:t>
      </w:r>
    </w:p>
    <w:p>
      <w:pPr>
        <w:pStyle w:val="Compact"/>
        <w:numPr>
          <w:ilvl w:val="0"/>
          <w:numId w:val="1037"/>
        </w:numPr>
      </w:pPr>
      <w:r>
        <w:t xml:space="preserve">Network effects from combined human-AI systems</w:t>
      </w:r>
    </w:p>
    <w:p>
      <w:pPr>
        <w:pStyle w:val="Compact"/>
        <w:numPr>
          <w:ilvl w:val="0"/>
          <w:numId w:val="1037"/>
        </w:numPr>
      </w:pPr>
      <w:r>
        <w:t xml:space="preserve">Proprietary data moats</w:t>
      </w:r>
    </w:p>
    <w:p>
      <w:pPr>
        <w:pStyle w:val="Compact"/>
        <w:numPr>
          <w:ilvl w:val="0"/>
          <w:numId w:val="1037"/>
        </w:numPr>
      </w:pPr>
      <w:r>
        <w:t xml:space="preserve">Organizational learning capabilities</w:t>
      </w:r>
    </w:p>
    <w:p>
      <w:pPr>
        <w:pStyle w:val="Compact"/>
        <w:numPr>
          <w:ilvl w:val="0"/>
          <w:numId w:val="1037"/>
        </w:numPr>
      </w:pPr>
      <w:r>
        <w:t xml:space="preserve">Cultural adaptability to technological change</w:t>
      </w:r>
    </w:p>
    <w:p>
      <w:pPr>
        <w:pStyle w:val="Compact"/>
        <w:numPr>
          <w:ilvl w:val="0"/>
          <w:numId w:val="1037"/>
        </w:numPr>
      </w:pPr>
      <w:r>
        <w:t xml:space="preserve">Leadership understanding of AI’s strategic role</w:t>
      </w:r>
    </w:p>
    <w:p>
      <w:pPr>
        <w:pStyle w:val="FirstParagraph"/>
      </w:pPr>
      <w:r>
        <w:t xml:space="preserve">[Chart 11: Comparison of long-term returns between technical leaders and strategic implementers]</w:t>
      </w:r>
    </w:p>
    <w:p>
      <w:pPr>
        <w:pStyle w:val="BodyText"/>
      </w:pPr>
      <w:r>
        <w:t xml:space="preserve">Companies that build AI into their strategic architecture, rather than treating it as a standalone initiative, typically demonstrate superior long-term performance. This echoes W. Chan Kim and Renée Mauborgne’s Blue Ocean Strategy principle of making competition irrelevant through fundamental business model innovation.</w:t>
      </w:r>
    </w:p>
    <w:bookmarkEnd w:id="134"/>
    <w:bookmarkStart w:id="135" w:name="clear-enhancement-use-cases"/>
    <w:p>
      <w:pPr>
        <w:pStyle w:val="Heading3"/>
      </w:pPr>
      <w:r>
        <w:t xml:space="preserve">9.8.2 Clear Enhancement Use Cases</w:t>
      </w:r>
    </w:p>
    <w:p>
      <w:pPr>
        <w:pStyle w:val="FirstParagraph"/>
      </w:pPr>
      <w:r>
        <w:t xml:space="preserve">Following Peter Drucker’s emphasis on effectiveness over efficiency, successful AI implementations should focus on enhancing core value-creating activities rather than merely reducing costs. Key evaluation criteria include:</w:t>
      </w:r>
    </w:p>
    <w:p>
      <w:pPr>
        <w:pStyle w:val="Compact"/>
        <w:numPr>
          <w:ilvl w:val="0"/>
          <w:numId w:val="1038"/>
        </w:numPr>
      </w:pPr>
      <w:r>
        <w:t xml:space="preserve">Direct impact on customer value proposition</w:t>
      </w:r>
    </w:p>
    <w:p>
      <w:pPr>
        <w:pStyle w:val="Compact"/>
        <w:numPr>
          <w:ilvl w:val="0"/>
          <w:numId w:val="1038"/>
        </w:numPr>
      </w:pPr>
      <w:r>
        <w:t xml:space="preserve">Integration with existing workflows</w:t>
      </w:r>
    </w:p>
    <w:p>
      <w:pPr>
        <w:pStyle w:val="Compact"/>
        <w:numPr>
          <w:ilvl w:val="0"/>
          <w:numId w:val="1038"/>
        </w:numPr>
      </w:pPr>
      <w:r>
        <w:t xml:space="preserve">Clear metrics for success</w:t>
      </w:r>
    </w:p>
    <w:p>
      <w:pPr>
        <w:pStyle w:val="Compact"/>
        <w:numPr>
          <w:ilvl w:val="0"/>
          <w:numId w:val="1038"/>
        </w:numPr>
      </w:pPr>
      <w:r>
        <w:t xml:space="preserve">Scalability of enhancement effects</w:t>
      </w:r>
    </w:p>
    <w:p>
      <w:pPr>
        <w:pStyle w:val="Compact"/>
        <w:numPr>
          <w:ilvl w:val="0"/>
          <w:numId w:val="1038"/>
        </w:numPr>
      </w:pPr>
      <w:r>
        <w:t xml:space="preserve">Employee adoption and satisfaction</w:t>
      </w:r>
    </w:p>
    <w:p>
      <w:pPr>
        <w:pStyle w:val="FirstParagraph"/>
      </w:pPr>
      <w:r>
        <w:t xml:space="preserve">[Chart 12: Success rates of AI initiatives by clarity of use case]</w:t>
      </w:r>
    </w:p>
    <w:p>
      <w:pPr>
        <w:pStyle w:val="BodyText"/>
      </w:pPr>
      <w:r>
        <w:t xml:space="preserve">Companies with well-defined enhancement use cases typically achieve 3-4x higher returns on AI investments compared to those pursuing general automation strategies. This aligns with Clayton Christensen’s jobs-to-be-done framework – successful AI enhancement addresses specific, valuable jobs that customers need done.</w:t>
      </w:r>
    </w:p>
    <w:bookmarkEnd w:id="135"/>
    <w:bookmarkStart w:id="136" w:name="X2d0b31d5b6dabd92f59b95e713f5696ba544678"/>
    <w:p>
      <w:pPr>
        <w:pStyle w:val="Heading3"/>
      </w:pPr>
      <w:r>
        <w:t xml:space="preserve">9.8.3 Data Assets and Implementation Capabilities</w:t>
      </w:r>
    </w:p>
    <w:p>
      <w:pPr>
        <w:pStyle w:val="FirstParagraph"/>
      </w:pPr>
      <w:r>
        <w:t xml:space="preserve">As Thomas H. Davenport argued in</w:t>
      </w:r>
      <w:r>
        <w:t xml:space="preserve"> </w:t>
      </w:r>
      <w:r>
        <w:t xml:space="preserve">“Competing on Analytics,”</w:t>
      </w:r>
      <w:r>
        <w:t xml:space="preserve"> </w:t>
      </w:r>
      <w:r>
        <w:t xml:space="preserve">competitive advantage increasingly comes from how companies use data rather than merely possessing it. For AI enhancement strategies, key factors include:</w:t>
      </w:r>
    </w:p>
    <w:p>
      <w:pPr>
        <w:pStyle w:val="Compact"/>
        <w:numPr>
          <w:ilvl w:val="0"/>
          <w:numId w:val="1039"/>
        </w:numPr>
      </w:pPr>
      <w:r>
        <w:t xml:space="preserve">Quality and uniqueness of proprietary data</w:t>
      </w:r>
    </w:p>
    <w:p>
      <w:pPr>
        <w:pStyle w:val="Compact"/>
        <w:numPr>
          <w:ilvl w:val="0"/>
          <w:numId w:val="1039"/>
        </w:numPr>
      </w:pPr>
      <w:r>
        <w:t xml:space="preserve">Data governance and management capabilities</w:t>
      </w:r>
    </w:p>
    <w:p>
      <w:pPr>
        <w:pStyle w:val="Compact"/>
        <w:numPr>
          <w:ilvl w:val="0"/>
          <w:numId w:val="1039"/>
        </w:numPr>
      </w:pPr>
      <w:r>
        <w:t xml:space="preserve">Integration of structured and unstructured data</w:t>
      </w:r>
    </w:p>
    <w:p>
      <w:pPr>
        <w:pStyle w:val="Compact"/>
        <w:numPr>
          <w:ilvl w:val="0"/>
          <w:numId w:val="1039"/>
        </w:numPr>
      </w:pPr>
      <w:r>
        <w:t xml:space="preserve">Ability to combine human insight with machine learning</w:t>
      </w:r>
    </w:p>
    <w:p>
      <w:pPr>
        <w:pStyle w:val="Compact"/>
        <w:numPr>
          <w:ilvl w:val="0"/>
          <w:numId w:val="1039"/>
        </w:numPr>
      </w:pPr>
      <w:r>
        <w:t xml:space="preserve">Technical debt management</w:t>
      </w:r>
    </w:p>
    <w:p>
      <w:pPr>
        <w:pStyle w:val="FirstParagraph"/>
      </w:pPr>
      <w:r>
        <w:t xml:space="preserve">[Chart 13: Correlation between data capabilities and AI implementation success]</w:t>
      </w:r>
    </w:p>
    <w:p>
      <w:pPr>
        <w:pStyle w:val="BodyText"/>
      </w:pPr>
      <w:r>
        <w:t xml:space="preserve">The most successful companies typically demonstrate what Gary Hamel calls</w:t>
      </w:r>
      <w:r>
        <w:t xml:space="preserve"> </w:t>
      </w:r>
      <w:r>
        <w:t xml:space="preserve">“strategic architecture”</w:t>
      </w:r>
      <w:r>
        <w:t xml:space="preserve"> </w:t>
      </w:r>
      <w:r>
        <w:t xml:space="preserve">– the ability to orchestrate multiple capabilities around a coherent vision for AI enhancement.</w:t>
      </w:r>
    </w:p>
    <w:bookmarkEnd w:id="136"/>
    <w:bookmarkStart w:id="137" w:name="timing-and-geographic-diversification"/>
    <w:p>
      <w:pPr>
        <w:pStyle w:val="Heading3"/>
      </w:pPr>
      <w:r>
        <w:t xml:space="preserve">9.8.4 Timing and Geographic Diversification</w:t>
      </w:r>
    </w:p>
    <w:p>
      <w:pPr>
        <w:pStyle w:val="FirstParagraph"/>
      </w:pPr>
      <w:r>
        <w:t xml:space="preserve">Drawing on Geoffrey Moore’s</w:t>
      </w:r>
      <w:r>
        <w:t xml:space="preserve"> </w:t>
      </w:r>
      <w:r>
        <w:t xml:space="preserve">“Crossing the Chasm”</w:t>
      </w:r>
      <w:r>
        <w:t xml:space="preserve"> </w:t>
      </w:r>
      <w:r>
        <w:t xml:space="preserve">framework, different industries and regions are at different stages of AI adoption. Successful investment strategies should:</w:t>
      </w:r>
    </w:p>
    <w:p>
      <w:pPr>
        <w:pStyle w:val="Compact"/>
        <w:numPr>
          <w:ilvl w:val="0"/>
          <w:numId w:val="1040"/>
        </w:numPr>
      </w:pPr>
      <w:r>
        <w:t xml:space="preserve">Match investment timing to adoption curves</w:t>
      </w:r>
    </w:p>
    <w:p>
      <w:pPr>
        <w:pStyle w:val="Compact"/>
        <w:numPr>
          <w:ilvl w:val="0"/>
          <w:numId w:val="1040"/>
        </w:numPr>
      </w:pPr>
      <w:r>
        <w:t xml:space="preserve">Consider regional variations in AI maturity</w:t>
      </w:r>
    </w:p>
    <w:p>
      <w:pPr>
        <w:pStyle w:val="Compact"/>
        <w:numPr>
          <w:ilvl w:val="0"/>
          <w:numId w:val="1040"/>
        </w:numPr>
      </w:pPr>
      <w:r>
        <w:t xml:space="preserve">Account for industry-specific implementation challenges</w:t>
      </w:r>
    </w:p>
    <w:p>
      <w:pPr>
        <w:pStyle w:val="Compact"/>
        <w:numPr>
          <w:ilvl w:val="0"/>
          <w:numId w:val="1040"/>
        </w:numPr>
      </w:pPr>
      <w:r>
        <w:t xml:space="preserve">Balance early-mover advantages against execution risk</w:t>
      </w:r>
    </w:p>
    <w:p>
      <w:pPr>
        <w:pStyle w:val="Compact"/>
        <w:numPr>
          <w:ilvl w:val="0"/>
          <w:numId w:val="1040"/>
        </w:numPr>
      </w:pPr>
      <w:r>
        <w:t xml:space="preserve">Maintain flexibility in deployment strategies</w:t>
      </w:r>
    </w:p>
    <w:p>
      <w:pPr>
        <w:pStyle w:val="FirstParagraph"/>
      </w:pPr>
      <w:r>
        <w:t xml:space="preserve">[Chart 14: AI adoption curves across industries and regions]</w:t>
      </w:r>
    </w:p>
    <w:p>
      <w:pPr>
        <w:pStyle w:val="BodyText"/>
      </w:pPr>
      <w:r>
        <w:t xml:space="preserve">This approach helps avoid what Spencer Johnson described in</w:t>
      </w:r>
      <w:r>
        <w:t xml:space="preserve"> </w:t>
      </w:r>
      <w:r>
        <w:t xml:space="preserve">“Who Moved My Cheese?”</w:t>
      </w:r>
      <w:r>
        <w:t xml:space="preserve"> </w:t>
      </w:r>
      <w:r>
        <w:t xml:space="preserve">– becoming too attached to existing success patterns while missing emerging opportunities.</w:t>
      </w:r>
    </w:p>
    <w:bookmarkEnd w:id="137"/>
    <w:bookmarkStart w:id="138" w:name="regulatory-development-monitoring"/>
    <w:p>
      <w:pPr>
        <w:pStyle w:val="Heading3"/>
      </w:pPr>
      <w:r>
        <w:t xml:space="preserve">9.8.5 Regulatory Development Monitoring</w:t>
      </w:r>
    </w:p>
    <w:p>
      <w:pPr>
        <w:pStyle w:val="FirstParagraph"/>
      </w:pPr>
      <w:r>
        <w:t xml:space="preserve">Following the principle that John Hagel III and John Seely Brown described as</w:t>
      </w:r>
      <w:r>
        <w:t xml:space="preserve"> </w:t>
      </w:r>
      <w:r>
        <w:t xml:space="preserve">“shaping strategies,”</w:t>
      </w:r>
      <w:r>
        <w:t xml:space="preserve"> </w:t>
      </w:r>
      <w:r>
        <w:t xml:space="preserve">successful companies actively engage with evolving regulatory frameworks rather than merely reacting to them. Key areas to monitor include:</w:t>
      </w:r>
    </w:p>
    <w:p>
      <w:pPr>
        <w:pStyle w:val="Compact"/>
        <w:numPr>
          <w:ilvl w:val="0"/>
          <w:numId w:val="1041"/>
        </w:numPr>
      </w:pPr>
      <w:r>
        <w:t xml:space="preserve">Data privacy and protection requirements</w:t>
      </w:r>
    </w:p>
    <w:p>
      <w:pPr>
        <w:pStyle w:val="Compact"/>
        <w:numPr>
          <w:ilvl w:val="0"/>
          <w:numId w:val="1041"/>
        </w:numPr>
      </w:pPr>
      <w:r>
        <w:t xml:space="preserve">Algorithm transparency standards</w:t>
      </w:r>
    </w:p>
    <w:p>
      <w:pPr>
        <w:pStyle w:val="Compact"/>
        <w:numPr>
          <w:ilvl w:val="0"/>
          <w:numId w:val="1041"/>
        </w:numPr>
      </w:pPr>
      <w:r>
        <w:t xml:space="preserve">Industry-specific regulations</w:t>
      </w:r>
    </w:p>
    <w:p>
      <w:pPr>
        <w:pStyle w:val="Compact"/>
        <w:numPr>
          <w:ilvl w:val="0"/>
          <w:numId w:val="1041"/>
        </w:numPr>
      </w:pPr>
      <w:r>
        <w:t xml:space="preserve">Cross-border data flow restrictions</w:t>
      </w:r>
    </w:p>
    <w:p>
      <w:pPr>
        <w:pStyle w:val="Compact"/>
        <w:numPr>
          <w:ilvl w:val="0"/>
          <w:numId w:val="1041"/>
        </w:numPr>
      </w:pPr>
      <w:r>
        <w:t xml:space="preserve">Labor law implications</w:t>
      </w:r>
    </w:p>
    <w:p>
      <w:pPr>
        <w:pStyle w:val="FirstParagraph"/>
      </w:pPr>
      <w:r>
        <w:t xml:space="preserve">[Chart 15: Impact of regulatory changes on AI implementation strategies]</w:t>
      </w:r>
    </w:p>
    <w:p>
      <w:pPr>
        <w:pStyle w:val="BodyText"/>
      </w:pPr>
      <w:r>
        <w:t xml:space="preserve">Companies that proactively address regulatory concerns while pursuing enhancement strategies typically face lower compliance costs and fewer implementation delays.</w:t>
      </w:r>
    </w:p>
    <w:bookmarkEnd w:id="138"/>
    <w:bookmarkStart w:id="139" w:name="implementation-framework"/>
    <w:p>
      <w:pPr>
        <w:pStyle w:val="Heading3"/>
      </w:pPr>
      <w:r>
        <w:t xml:space="preserve">9.8.6 Implementation Framework</w:t>
      </w:r>
    </w:p>
    <w:p>
      <w:pPr>
        <w:pStyle w:val="FirstParagraph"/>
      </w:pPr>
      <w:r>
        <w:t xml:space="preserve">Successful AI enhancement strategies typically follow what Tom Peters might call a</w:t>
      </w:r>
      <w:r>
        <w:t xml:space="preserve"> </w:t>
      </w:r>
      <w:r>
        <w:t xml:space="preserve">“bias for action”</w:t>
      </w:r>
      <w:r>
        <w:t xml:space="preserve"> </w:t>
      </w:r>
      <w:r>
        <w:t xml:space="preserve">while maintaining strategic discipline. Key elements include:</w:t>
      </w:r>
    </w:p>
    <w:p>
      <w:pPr>
        <w:pStyle w:val="Compact"/>
        <w:numPr>
          <w:ilvl w:val="0"/>
          <w:numId w:val="1042"/>
        </w:numPr>
      </w:pPr>
      <w:r>
        <w:t xml:space="preserve">Clear strategic intent aligned with core competencies</w:t>
      </w:r>
    </w:p>
    <w:p>
      <w:pPr>
        <w:pStyle w:val="Compact"/>
        <w:numPr>
          <w:ilvl w:val="0"/>
          <w:numId w:val="1042"/>
        </w:numPr>
      </w:pPr>
      <w:r>
        <w:t xml:space="preserve">Focus on human-AI synergies rather than replacement</w:t>
      </w:r>
    </w:p>
    <w:p>
      <w:pPr>
        <w:pStyle w:val="Compact"/>
        <w:numPr>
          <w:ilvl w:val="0"/>
          <w:numId w:val="1042"/>
        </w:numPr>
      </w:pPr>
      <w:r>
        <w:t xml:space="preserve">Iterative implementation with clear feedback loops</w:t>
      </w:r>
    </w:p>
    <w:p>
      <w:pPr>
        <w:pStyle w:val="Compact"/>
        <w:numPr>
          <w:ilvl w:val="0"/>
          <w:numId w:val="1042"/>
        </w:numPr>
      </w:pPr>
      <w:r>
        <w:t xml:space="preserve">Strong change management capabilities</w:t>
      </w:r>
    </w:p>
    <w:p>
      <w:pPr>
        <w:pStyle w:val="Compact"/>
        <w:numPr>
          <w:ilvl w:val="0"/>
          <w:numId w:val="1042"/>
        </w:numPr>
      </w:pPr>
      <w:r>
        <w:t xml:space="preserve">Continuous learning and adaptation</w:t>
      </w:r>
    </w:p>
    <w:p>
      <w:pPr>
        <w:pStyle w:val="FirstParagraph"/>
      </w:pPr>
      <w:r>
        <w:t xml:space="preserve">[Chart 16: Success rates by implementation approach]</w:t>
      </w:r>
    </w:p>
    <w:p>
      <w:pPr>
        <w:pStyle w:val="BodyText"/>
      </w:pPr>
      <w:r>
        <w:t xml:space="preserve">This framework combines elements of agile methodology with traditional change management principles, creating what Rita McGrath terms</w:t>
      </w:r>
      <w:r>
        <w:t xml:space="preserve"> </w:t>
      </w:r>
      <w:r>
        <w:t xml:space="preserve">“transient advantage”</w:t>
      </w:r>
      <w:r>
        <w:t xml:space="preserve"> </w:t>
      </w:r>
      <w:r>
        <w:t xml:space="preserve">through continuous innovation in how humans and AI work together.</w:t>
      </w:r>
    </w:p>
    <w:bookmarkEnd w:id="139"/>
    <w:bookmarkEnd w:id="140"/>
    <w:bookmarkStart w:id="141" w:name="conclusion-1"/>
    <w:p>
      <w:pPr>
        <w:pStyle w:val="Heading2"/>
      </w:pPr>
      <w:r>
        <w:t xml:space="preserve">9.9 Conclusion</w:t>
      </w:r>
    </w:p>
    <w:p>
      <w:pPr>
        <w:pStyle w:val="FirstParagraph"/>
      </w:pPr>
      <w:r>
        <w:t xml:space="preserve">The investment opportunities created by AI will be larger and more diverse than many currently recognize, but they will not necessarily accrue to the most obvious candidates. The biggest winners will be companies that effectively leverage AI to enhance human capabilities rather than those pursuing pure automation strategies. This requires investors to look beyond technical capabilities to understand how companies implement AI in ways that create sustainable competitive advantages.</w:t>
      </w:r>
    </w:p>
    <w:p>
      <w:pPr>
        <w:pStyle w:val="BodyText"/>
      </w:pPr>
      <w:r>
        <w:t xml:space="preserve">The enhancement thesis suggests that the most attractive investments will be found not just among technology providers, but across industries where AI can significantly enhance existing competitive advantages. Success in identifying these opportunities requires combining traditional financial analysis with deep understanding of how AI actually creates value in specific business contexts.</w:t>
      </w:r>
    </w:p>
    <w:bookmarkEnd w:id="141"/>
    <w:bookmarkEnd w:id="142"/>
    <w:bookmarkStart w:id="155"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As we look toward the future, the critical question is not whether AI will automate jobs away, but how we can build systems that amplify human judgment while preserving human agency. This final chapter outlines concrete steps for business leaders, policymakers, and society at large to ensure AI development remains human-centric.</w:t>
      </w:r>
    </w:p>
    <w:bookmarkStart w:id="143" w:name="the-enhancement-imperative"/>
    <w:p>
      <w:pPr>
        <w:pStyle w:val="Heading2"/>
      </w:pPr>
      <w:r>
        <w:t xml:space="preserve">10.1 The Enhancement 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and agency. This isn’t just about maintaining employment – it’s about achieving superior outcomes.</w:t>
      </w:r>
    </w:p>
    <w:p>
      <w:pPr>
        <w:pStyle w:val="BodyText"/>
      </w:pPr>
      <w:r>
        <w:t xml:space="preserve">[Chart: Comparison of outcomes in fully automated vs. human-AI collaborative systems across key metrics: accuracy, adaptability to change, stakeholder trust, and long-term sustainability]</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but humans remain essential for understanding how changing geopolitical dynamics or regulatory shifts might affect market behavior.</w:t>
      </w:r>
    </w:p>
    <w:p>
      <w:pPr>
        <w:pStyle w:val="BodyText"/>
      </w:pPr>
      <w:r>
        <w:t xml:space="preserve">This pattern repeats across industries. In healthcare, AI excels at analyzing medical images and identifying potential anomalies, but doctors provide crucial judgment in interpreting these findings within the broader context of patient health. In creative fields, AI tools can generate endless variations of designs or content, but human creators remain essential for determining which outputs actually resonate with audiences.</w:t>
      </w:r>
    </w:p>
    <w:bookmarkEnd w:id="143"/>
    <w:bookmarkStart w:id="144" w:name="rethinking-ai-implementation"/>
    <w:p>
      <w:pPr>
        <w:pStyle w:val="Heading2"/>
      </w:pPr>
      <w:r>
        <w:t xml:space="preserve">10.2 Rethinking AI Implementation</w:t>
      </w:r>
    </w:p>
    <w:p>
      <w:pPr>
        <w:pStyle w:val="FirstParagraph"/>
      </w:pPr>
      <w:r>
        <w:t xml:space="preserve">Business leaders must shift their AI implementation strategies away from automation-first approaches toward enhancement-focused frameworks. This requires:</w:t>
      </w:r>
    </w:p>
    <w:p>
      <w:pPr>
        <w:pStyle w:val="Compact"/>
        <w:numPr>
          <w:ilvl w:val="0"/>
          <w:numId w:val="1043"/>
        </w:numPr>
      </w:pPr>
      <w:r>
        <w:t xml:space="preserve">Starting with human workflows rather than technical capabilities</w:t>
      </w:r>
    </w:p>
    <w:p>
      <w:pPr>
        <w:pStyle w:val="Compact"/>
        <w:numPr>
          <w:ilvl w:val="1"/>
          <w:numId w:val="1044"/>
        </w:numPr>
      </w:pPr>
      <w:r>
        <w:t xml:space="preserve">Map existing decision processes</w:t>
      </w:r>
    </w:p>
    <w:p>
      <w:pPr>
        <w:pStyle w:val="Compact"/>
        <w:numPr>
          <w:ilvl w:val="1"/>
          <w:numId w:val="1044"/>
        </w:numPr>
      </w:pPr>
      <w:r>
        <w:t xml:space="preserve">Identify areas where human judgment is crucial</w:t>
      </w:r>
    </w:p>
    <w:p>
      <w:pPr>
        <w:pStyle w:val="Compact"/>
        <w:numPr>
          <w:ilvl w:val="1"/>
          <w:numId w:val="1044"/>
        </w:numPr>
      </w:pPr>
      <w:r>
        <w:t xml:space="preserve">Look for opportunities to augment rather than replace human capabilities</w:t>
      </w:r>
    </w:p>
    <w:p>
      <w:pPr>
        <w:pStyle w:val="Compact"/>
        <w:numPr>
          <w:ilvl w:val="0"/>
          <w:numId w:val="1043"/>
        </w:numPr>
      </w:pPr>
      <w:r>
        <w:t xml:space="preserve">Building trust through transparency</w:t>
      </w:r>
    </w:p>
    <w:p>
      <w:pPr>
        <w:pStyle w:val="Compact"/>
        <w:numPr>
          <w:ilvl w:val="1"/>
          <w:numId w:val="1045"/>
        </w:numPr>
      </w:pPr>
      <w:r>
        <w:t xml:space="preserve">Ensure AI systems provide explanations for their recommendations</w:t>
      </w:r>
    </w:p>
    <w:p>
      <w:pPr>
        <w:pStyle w:val="Compact"/>
        <w:numPr>
          <w:ilvl w:val="1"/>
          <w:numId w:val="1045"/>
        </w:numPr>
      </w:pPr>
      <w:r>
        <w:t xml:space="preserve">Maintain clear accountability for decisions</w:t>
      </w:r>
    </w:p>
    <w:p>
      <w:pPr>
        <w:pStyle w:val="Compact"/>
        <w:numPr>
          <w:ilvl w:val="1"/>
          <w:numId w:val="1045"/>
        </w:numPr>
      </w:pPr>
      <w:r>
        <w:t xml:space="preserve">Create feedback loops between human operators and AI systems</w:t>
      </w:r>
    </w:p>
    <w:p>
      <w:pPr>
        <w:pStyle w:val="Compact"/>
        <w:numPr>
          <w:ilvl w:val="0"/>
          <w:numId w:val="1043"/>
        </w:numPr>
      </w:pPr>
      <w:r>
        <w:t xml:space="preserve">Investing in human capital alongside AI capabilities</w:t>
      </w:r>
    </w:p>
    <w:p>
      <w:pPr>
        <w:pStyle w:val="Compact"/>
        <w:numPr>
          <w:ilvl w:val="1"/>
          <w:numId w:val="1046"/>
        </w:numPr>
      </w:pPr>
      <w:r>
        <w:t xml:space="preserve">Train workers to effectively collaborate with AI systems</w:t>
      </w:r>
    </w:p>
    <w:p>
      <w:pPr>
        <w:pStyle w:val="Compact"/>
        <w:numPr>
          <w:ilvl w:val="1"/>
          <w:numId w:val="1046"/>
        </w:numPr>
      </w:pPr>
      <w:r>
        <w:t xml:space="preserve">Develop new roles that leverage uniquely human skills</w:t>
      </w:r>
    </w:p>
    <w:p>
      <w:pPr>
        <w:pStyle w:val="Compact"/>
        <w:numPr>
          <w:ilvl w:val="1"/>
          <w:numId w:val="1046"/>
        </w:numPr>
      </w:pPr>
      <w:r>
        <w:t xml:space="preserve">Create career paths that evolve with technology</w:t>
      </w:r>
    </w:p>
    <w:p>
      <w:pPr>
        <w:pStyle w:val="FirstParagraph"/>
      </w:pPr>
      <w:r>
        <w:t xml:space="preserve">[Chart: Framework for assessing AI implementation opportunities along two axes: potential for enhancement vs. automation, and importance of human judgment]</w:t>
      </w:r>
    </w:p>
    <w:bookmarkEnd w:id="144"/>
    <w:bookmarkStart w:id="148" w:name="policy-imperatives"/>
    <w:p>
      <w:pPr>
        <w:pStyle w:val="Heading2"/>
      </w:pPr>
      <w:r>
        <w:t xml:space="preserve">10.3 Policy Imperatives</w:t>
      </w:r>
    </w:p>
    <w:p>
      <w:pPr>
        <w:pStyle w:val="FirstParagraph"/>
      </w:pPr>
      <w:r>
        <w:t xml:space="preserve">Policymakers face the challenge of fostering AI innovation while ensuring its development serves human interests. We propose several key principles:</w:t>
      </w:r>
    </w:p>
    <w:bookmarkStart w:id="145" w:name="preserving-human-agency"/>
    <w:p>
      <w:pPr>
        <w:pStyle w:val="Heading3"/>
      </w:pPr>
      <w:r>
        <w:t xml:space="preserve">10.3.1 1. Preserving Human Agency</w:t>
      </w:r>
    </w:p>
    <w:p>
      <w:pPr>
        <w:pStyle w:val="FirstParagraph"/>
      </w:pPr>
      <w:r>
        <w:t xml:space="preserve">Regulations should require meaningful human oversight in critical decisions. This doesn’t mean humans must review every AI output, but rather that systems should be designed to preserve human judgment where it matters most. For example:</w:t>
      </w:r>
    </w:p>
    <w:p>
      <w:pPr>
        <w:pStyle w:val="Compact"/>
        <w:numPr>
          <w:ilvl w:val="0"/>
          <w:numId w:val="1047"/>
        </w:numPr>
      </w:pPr>
      <w:r>
        <w:t xml:space="preserve">Mandatory human review of AI-generated content in sensitive contexts</w:t>
      </w:r>
    </w:p>
    <w:p>
      <w:pPr>
        <w:pStyle w:val="Compact"/>
        <w:numPr>
          <w:ilvl w:val="0"/>
          <w:numId w:val="1047"/>
        </w:numPr>
      </w:pPr>
      <w:r>
        <w:t xml:space="preserve">Requirements for human oversight in high-stakes medical or financial decisions</w:t>
      </w:r>
    </w:p>
    <w:p>
      <w:pPr>
        <w:pStyle w:val="Compact"/>
        <w:numPr>
          <w:ilvl w:val="0"/>
          <w:numId w:val="1047"/>
        </w:numPr>
      </w:pPr>
      <w:r>
        <w:t xml:space="preserve">Preservation of human judgment in legal proceedings</w:t>
      </w:r>
    </w:p>
    <w:bookmarkEnd w:id="145"/>
    <w:bookmarkStart w:id="146" w:name="promoting-transparency"/>
    <w:p>
      <w:pPr>
        <w:pStyle w:val="Heading3"/>
      </w:pPr>
      <w:r>
        <w:t xml:space="preserve">10.3.2 2. Promoting Transparency</w:t>
      </w:r>
    </w:p>
    <w:p>
      <w:pPr>
        <w:pStyle w:val="FirstParagraph"/>
      </w:pPr>
      <w:r>
        <w:t xml:space="preserve">AI systems should be required to provide explanations for their recommendations in forms that humans can understand and evaluate. This is particularly crucial in:</w:t>
      </w:r>
    </w:p>
    <w:p>
      <w:pPr>
        <w:pStyle w:val="Compact"/>
        <w:numPr>
          <w:ilvl w:val="0"/>
          <w:numId w:val="1048"/>
        </w:numPr>
      </w:pPr>
      <w:r>
        <w:t xml:space="preserve">Healthcare decisions</w:t>
      </w:r>
    </w:p>
    <w:p>
      <w:pPr>
        <w:pStyle w:val="Compact"/>
        <w:numPr>
          <w:ilvl w:val="0"/>
          <w:numId w:val="1048"/>
        </w:numPr>
      </w:pPr>
      <w:r>
        <w:t xml:space="preserve">Financial advice</w:t>
      </w:r>
    </w:p>
    <w:p>
      <w:pPr>
        <w:pStyle w:val="Compact"/>
        <w:numPr>
          <w:ilvl w:val="0"/>
          <w:numId w:val="1048"/>
        </w:numPr>
      </w:pPr>
      <w:r>
        <w:t xml:space="preserve">Legal proceedings</w:t>
      </w:r>
    </w:p>
    <w:p>
      <w:pPr>
        <w:pStyle w:val="Compact"/>
        <w:numPr>
          <w:ilvl w:val="0"/>
          <w:numId w:val="1048"/>
        </w:numPr>
      </w:pPr>
      <w:r>
        <w:t xml:space="preserve">Educational assessments</w:t>
      </w:r>
    </w:p>
    <w:bookmarkEnd w:id="146"/>
    <w:bookmarkStart w:id="147" w:name="protecting-privacy-and-data-rights"/>
    <w:p>
      <w:pPr>
        <w:pStyle w:val="Heading3"/>
      </w:pPr>
      <w:r>
        <w:t xml:space="preserve">10.3.3 3. Protecting Privacy and Data Rights</w:t>
      </w:r>
    </w:p>
    <w:p>
      <w:pPr>
        <w:pStyle w:val="FirstParagraph"/>
      </w:pPr>
      <w:r>
        <w:t xml:space="preserve">As AI systems become more powerful, protecting individual privacy and data rights becomes increasingly crucial. Policies should:</w:t>
      </w:r>
    </w:p>
    <w:p>
      <w:pPr>
        <w:pStyle w:val="Compact"/>
        <w:numPr>
          <w:ilvl w:val="0"/>
          <w:numId w:val="1049"/>
        </w:numPr>
      </w:pPr>
      <w:r>
        <w:t xml:space="preserve">Give individuals control over their personal data</w:t>
      </w:r>
    </w:p>
    <w:p>
      <w:pPr>
        <w:pStyle w:val="Compact"/>
        <w:numPr>
          <w:ilvl w:val="0"/>
          <w:numId w:val="1049"/>
        </w:numPr>
      </w:pPr>
      <w:r>
        <w:t xml:space="preserve">Require explicit consent for AI training</w:t>
      </w:r>
    </w:p>
    <w:p>
      <w:pPr>
        <w:pStyle w:val="Compact"/>
        <w:numPr>
          <w:ilvl w:val="0"/>
          <w:numId w:val="1049"/>
        </w:numPr>
      </w:pPr>
      <w:r>
        <w:t xml:space="preserve">Ensure transparency in how personal data is used</w:t>
      </w:r>
    </w:p>
    <w:p>
      <w:pPr>
        <w:pStyle w:val="Compact"/>
        <w:numPr>
          <w:ilvl w:val="0"/>
          <w:numId w:val="1049"/>
        </w:numPr>
      </w:pPr>
      <w:r>
        <w:t xml:space="preserve">Protect against algorithmic discrimination</w:t>
      </w:r>
    </w:p>
    <w:p>
      <w:pPr>
        <w:pStyle w:val="FirstParagraph"/>
      </w:pPr>
      <w:r>
        <w:t xml:space="preserve">[Chart: Matrix showing key policy areas and their relative importance across different sectors: healthcare, finance, education, etc.]</w:t>
      </w:r>
    </w:p>
    <w:bookmarkEnd w:id="147"/>
    <w:bookmarkEnd w:id="148"/>
    <w:bookmarkStart w:id="149" w:name="investment-implications-4"/>
    <w:p>
      <w:pPr>
        <w:pStyle w:val="Heading2"/>
      </w:pPr>
      <w:r>
        <w:t xml:space="preserve">10.4 Investment Implications</w:t>
      </w:r>
    </w:p>
    <w:p>
      <w:pPr>
        <w:pStyle w:val="FirstParagraph"/>
      </w:pPr>
      <w:r>
        <w:t xml:space="preserve">The shift toward human-centric AI has significant implications for investment strategy. Successful investors will need to:</w:t>
      </w:r>
    </w:p>
    <w:p>
      <w:pPr>
        <w:pStyle w:val="Compact"/>
        <w:numPr>
          <w:ilvl w:val="0"/>
          <w:numId w:val="1050"/>
        </w:numPr>
      </w:pPr>
      <w:r>
        <w:t xml:space="preserve">Evaluate companies based on their approach to human-AI collaboration</w:t>
      </w:r>
    </w:p>
    <w:p>
      <w:pPr>
        <w:pStyle w:val="Compact"/>
        <w:numPr>
          <w:ilvl w:val="1"/>
          <w:numId w:val="1051"/>
        </w:numPr>
      </w:pPr>
      <w:r>
        <w:t xml:space="preserve">Look for evidence of enhancement rather than pure automation strategies</w:t>
      </w:r>
    </w:p>
    <w:p>
      <w:pPr>
        <w:pStyle w:val="Compact"/>
        <w:numPr>
          <w:ilvl w:val="1"/>
          <w:numId w:val="1051"/>
        </w:numPr>
      </w:pPr>
      <w:r>
        <w:t xml:space="preserve">Assess investments in human capital alongside AI capabilities</w:t>
      </w:r>
    </w:p>
    <w:p>
      <w:pPr>
        <w:pStyle w:val="Compact"/>
        <w:numPr>
          <w:ilvl w:val="1"/>
          <w:numId w:val="1051"/>
        </w:numPr>
      </w:pPr>
      <w:r>
        <w:t xml:space="preserve">Consider the sustainability of human-AI collaborative models</w:t>
      </w:r>
    </w:p>
    <w:p>
      <w:pPr>
        <w:pStyle w:val="Compact"/>
        <w:numPr>
          <w:ilvl w:val="0"/>
          <w:numId w:val="1050"/>
        </w:numPr>
      </w:pPr>
      <w:r>
        <w:t xml:space="preserve">Understand the limitations of pure AI plays</w:t>
      </w:r>
    </w:p>
    <w:p>
      <w:pPr>
        <w:pStyle w:val="Compact"/>
        <w:numPr>
          <w:ilvl w:val="1"/>
          <w:numId w:val="1052"/>
        </w:numPr>
      </w:pPr>
      <w:r>
        <w:t xml:space="preserve">Be skeptical of companies promising full automation</w:t>
      </w:r>
    </w:p>
    <w:p>
      <w:pPr>
        <w:pStyle w:val="Compact"/>
        <w:numPr>
          <w:ilvl w:val="1"/>
          <w:numId w:val="1052"/>
        </w:numPr>
      </w:pPr>
      <w:r>
        <w:t xml:space="preserve">Look for business models that leverage uniquely human capabilities</w:t>
      </w:r>
    </w:p>
    <w:p>
      <w:pPr>
        <w:pStyle w:val="Compact"/>
        <w:numPr>
          <w:ilvl w:val="1"/>
          <w:numId w:val="1052"/>
        </w:numPr>
      </w:pPr>
      <w:r>
        <w:t xml:space="preserve">Consider the regulatory and social acceptance risks of automation-first approaches</w:t>
      </w:r>
    </w:p>
    <w:p>
      <w:pPr>
        <w:pStyle w:val="Compact"/>
        <w:numPr>
          <w:ilvl w:val="0"/>
          <w:numId w:val="1050"/>
        </w:numPr>
      </w:pPr>
      <w:r>
        <w:t xml:space="preserve">Identify opportunities in human capital development</w:t>
      </w:r>
    </w:p>
    <w:p>
      <w:pPr>
        <w:pStyle w:val="Compact"/>
        <w:numPr>
          <w:ilvl w:val="1"/>
          <w:numId w:val="1053"/>
        </w:numPr>
      </w:pPr>
      <w:r>
        <w:t xml:space="preserve">Training and education providers</w:t>
      </w:r>
    </w:p>
    <w:p>
      <w:pPr>
        <w:pStyle w:val="Compact"/>
        <w:numPr>
          <w:ilvl w:val="1"/>
          <w:numId w:val="1053"/>
        </w:numPr>
      </w:pPr>
      <w:r>
        <w:t xml:space="preserve">Workflow tools that facilitate human-AI collaboration</w:t>
      </w:r>
    </w:p>
    <w:p>
      <w:pPr>
        <w:pStyle w:val="Compact"/>
        <w:numPr>
          <w:ilvl w:val="1"/>
          <w:numId w:val="1053"/>
        </w:numPr>
      </w:pPr>
      <w:r>
        <w:t xml:space="preserve">Companies developing explainable AI systems</w:t>
      </w:r>
    </w:p>
    <w:p>
      <w:pPr>
        <w:pStyle w:val="FirstParagraph"/>
      </w:pPr>
      <w:r>
        <w:t xml:space="preserve">[Chart: Performance comparison of companies with human-centric vs. automation-focused AI strategies]</w:t>
      </w:r>
    </w:p>
    <w:bookmarkEnd w:id="149"/>
    <w:bookmarkStart w:id="153" w:name="the-path-forward"/>
    <w:p>
      <w:pPr>
        <w:pStyle w:val="Heading2"/>
      </w:pPr>
      <w:r>
        <w:t xml:space="preserve">10.5 The Path Forward</w:t>
      </w:r>
    </w:p>
    <w:p>
      <w:pPr>
        <w:pStyle w:val="FirstParagraph"/>
      </w:pPr>
      <w:r>
        <w:t xml:space="preserve">The next decade will be crucial in determining whether AI development enhances or diminishes human capability and agency. Success requires:</w:t>
      </w:r>
    </w:p>
    <w:bookmarkStart w:id="150" w:name="for-business-leaders"/>
    <w:p>
      <w:pPr>
        <w:pStyle w:val="Heading3"/>
      </w:pPr>
      <w:r>
        <w:t xml:space="preserve">10.5.1 For Business Leaders:</w:t>
      </w:r>
    </w:p>
    <w:p>
      <w:pPr>
        <w:pStyle w:val="Compact"/>
        <w:numPr>
          <w:ilvl w:val="0"/>
          <w:numId w:val="1054"/>
        </w:numPr>
      </w:pPr>
      <w:r>
        <w:t xml:space="preserve">Shift focus from automation to enhancement</w:t>
      </w:r>
    </w:p>
    <w:p>
      <w:pPr>
        <w:pStyle w:val="Compact"/>
        <w:numPr>
          <w:ilvl w:val="0"/>
          <w:numId w:val="1054"/>
        </w:numPr>
      </w:pPr>
      <w:r>
        <w:t xml:space="preserve">Invest in human capital alongside AI capabilities</w:t>
      </w:r>
    </w:p>
    <w:p>
      <w:pPr>
        <w:pStyle w:val="Compact"/>
        <w:numPr>
          <w:ilvl w:val="0"/>
          <w:numId w:val="1054"/>
        </w:numPr>
      </w:pPr>
      <w:r>
        <w:t xml:space="preserve">Build trust through transparency and accountability</w:t>
      </w:r>
    </w:p>
    <w:p>
      <w:pPr>
        <w:pStyle w:val="Compact"/>
        <w:numPr>
          <w:ilvl w:val="0"/>
          <w:numId w:val="1054"/>
        </w:numPr>
      </w:pPr>
      <w:r>
        <w:t xml:space="preserve">Develop clear frameworks for human-AI collaboration</w:t>
      </w:r>
    </w:p>
    <w:bookmarkEnd w:id="150"/>
    <w:bookmarkStart w:id="151" w:name="for-policymakers"/>
    <w:p>
      <w:pPr>
        <w:pStyle w:val="Heading3"/>
      </w:pPr>
      <w:r>
        <w:t xml:space="preserve">10.5.2 For Policymakers:</w:t>
      </w:r>
    </w:p>
    <w:p>
      <w:pPr>
        <w:pStyle w:val="Compact"/>
        <w:numPr>
          <w:ilvl w:val="0"/>
          <w:numId w:val="1055"/>
        </w:numPr>
      </w:pPr>
      <w:r>
        <w:t xml:space="preserve">Create regulatory frameworks that preserve human agency</w:t>
      </w:r>
    </w:p>
    <w:p>
      <w:pPr>
        <w:pStyle w:val="Compact"/>
        <w:numPr>
          <w:ilvl w:val="0"/>
          <w:numId w:val="1055"/>
        </w:numPr>
      </w:pPr>
      <w:r>
        <w:t xml:space="preserve">Promote transparency and explainability</w:t>
      </w:r>
    </w:p>
    <w:p>
      <w:pPr>
        <w:pStyle w:val="Compact"/>
        <w:numPr>
          <w:ilvl w:val="0"/>
          <w:numId w:val="1055"/>
        </w:numPr>
      </w:pPr>
      <w:r>
        <w:t xml:space="preserve">Protect individual privacy and data rights</w:t>
      </w:r>
    </w:p>
    <w:p>
      <w:pPr>
        <w:pStyle w:val="Compact"/>
        <w:numPr>
          <w:ilvl w:val="0"/>
          <w:numId w:val="1055"/>
        </w:numPr>
      </w:pPr>
      <w:r>
        <w:t xml:space="preserve">Foster innovation while ensuring human-centric development</w:t>
      </w:r>
    </w:p>
    <w:bookmarkEnd w:id="151"/>
    <w:bookmarkStart w:id="152" w:name="for-society"/>
    <w:p>
      <w:pPr>
        <w:pStyle w:val="Heading3"/>
      </w:pPr>
      <w:r>
        <w:t xml:space="preserve">10.5.3 For Society:</w:t>
      </w:r>
    </w:p>
    <w:p>
      <w:pPr>
        <w:pStyle w:val="Compact"/>
        <w:numPr>
          <w:ilvl w:val="0"/>
          <w:numId w:val="1056"/>
        </w:numPr>
      </w:pPr>
      <w:r>
        <w:t xml:space="preserve">Emphasize education that develops uniquely human capabilities</w:t>
      </w:r>
    </w:p>
    <w:p>
      <w:pPr>
        <w:pStyle w:val="Compact"/>
        <w:numPr>
          <w:ilvl w:val="0"/>
          <w:numId w:val="1056"/>
        </w:numPr>
      </w:pPr>
      <w:r>
        <w:t xml:space="preserve">Build systems that amplify human judgment rather than replace it</w:t>
      </w:r>
    </w:p>
    <w:p>
      <w:pPr>
        <w:pStyle w:val="Compact"/>
        <w:numPr>
          <w:ilvl w:val="0"/>
          <w:numId w:val="1056"/>
        </w:numPr>
      </w:pPr>
      <w:r>
        <w:t xml:space="preserve">Maintain focus on human values and ethics in AI development</w:t>
      </w:r>
    </w:p>
    <w:p>
      <w:pPr>
        <w:pStyle w:val="Compact"/>
        <w:numPr>
          <w:ilvl w:val="0"/>
          <w:numId w:val="1056"/>
        </w:numPr>
      </w:pPr>
      <w:r>
        <w:t xml:space="preserve">Preserve space for human creativity and agency</w:t>
      </w:r>
    </w:p>
    <w:bookmarkEnd w:id="152"/>
    <w:bookmarkEnd w:id="153"/>
    <w:bookmarkStart w:id="154" w:name="conclusion-2"/>
    <w:p>
      <w:pPr>
        <w:pStyle w:val="Heading2"/>
      </w:pPr>
      <w:r>
        <w:t xml:space="preserve">10.6 Conclusion</w:t>
      </w:r>
    </w:p>
    <w:p>
      <w:pPr>
        <w:pStyle w:val="FirstParagraph"/>
      </w:pPr>
      <w:r>
        <w:t xml:space="preserve">The AI revolution need not lead to widespread displacement or diminished human agency. By focusing on enhancement rather than replacement, we can build a future where artificial intelligence amplifies human capabilities while preserving human judgment and creativity. This requires conscious choices in how we develop and deploy AI systems, along with regulatory frameworks that protect human interests.</w:t>
      </w:r>
    </w:p>
    <w:p>
      <w:pPr>
        <w:pStyle w:val="BodyText"/>
      </w:pPr>
      <w:r>
        <w:t xml:space="preserve">The companies that succeed in the AI era will be those that find ways to combine human judgment with artificial intelligence, creating systems that are more capable than either humans or machines alone. The societies that thrive will be those that preserve human agency while leveraging AI’s capabilities to solve pressing challenges.</w:t>
      </w:r>
    </w:p>
    <w:p>
      <w:pPr>
        <w:pStyle w:val="BodyText"/>
      </w:pPr>
      <w:r>
        <w:t xml:space="preserve">The future of AI is not about machines replacing humans, but about humans and machines working together in ways that enhance rather than diminish human capability and agency. Building this future requires conscious choice and sustained effort from business leaders, policymakers, and society at large. The decisions we make in the coming years will determine whether AI fulfills its promise of enhancing human capability or instead diminishes human agency and judgment.</w:t>
      </w:r>
    </w:p>
    <w:p>
      <w:pPr>
        <w:pStyle w:val="BodyText"/>
      </w:pPr>
      <w:r>
        <w:t xml:space="preserve">[Final Chart: Vision for human-centric AI development showing the interconnection of business strategy, policy frameworks, and societal choices in creating a future that enhances rather than replaces human capabilities]</w:t>
      </w:r>
    </w:p>
    <w:bookmarkEnd w:id="154"/>
    <w:bookmarkEnd w:id="155"/>
    <w:bookmarkStart w:id="156" w:name="summary"/>
    <w:p>
      <w:pPr>
        <w:pStyle w:val="Heading1"/>
      </w:pPr>
      <w:r>
        <w:t xml:space="preserve">Summary</w:t>
      </w:r>
    </w:p>
    <w:bookmarkEnd w:id="156"/>
    <w:bookmarkStart w:id="166" w:name="X496e829ca4a624815caffd3f38f8ba034995061"/>
    <w:p>
      <w:pPr>
        <w:pStyle w:val="Heading1"/>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57"/>
        </w:numPr>
      </w:pPr>
      <w:r>
        <w:t xml:space="preserve">Maintain human agency and judgment at the center of decision-making</w:t>
      </w:r>
    </w:p>
    <w:p>
      <w:pPr>
        <w:pStyle w:val="Compact"/>
        <w:numPr>
          <w:ilvl w:val="0"/>
          <w:numId w:val="1057"/>
        </w:numPr>
      </w:pPr>
      <w:r>
        <w:t xml:space="preserve">Design AI systems that complement rather than replace human capabilities</w:t>
      </w:r>
    </w:p>
    <w:p>
      <w:pPr>
        <w:pStyle w:val="Compact"/>
        <w:numPr>
          <w:ilvl w:val="0"/>
          <w:numId w:val="1057"/>
        </w:numPr>
      </w:pPr>
      <w:r>
        <w:t xml:space="preserve">Focus on transparency and explainability in AI systems</w:t>
      </w:r>
    </w:p>
    <w:p>
      <w:pPr>
        <w:pStyle w:val="Compact"/>
        <w:numPr>
          <w:ilvl w:val="0"/>
          <w:numId w:val="1057"/>
        </w:numPr>
      </w:pPr>
      <w:r>
        <w:t xml:space="preserve">Prioritize human-AI collaboration over full automation</w:t>
      </w:r>
    </w:p>
    <w:p>
      <w:pPr>
        <w:pStyle w:val="Compact"/>
        <w:numPr>
          <w:ilvl w:val="0"/>
          <w:numId w:val="1057"/>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Start w:id="165" w:name="author-dialog"/>
    <w:p>
      <w:pPr>
        <w:pStyle w:val="Heading2"/>
      </w:pPr>
      <w:r>
        <w:t xml:space="preserve">Author Dialog</w:t>
      </w:r>
    </w:p>
    <w:bookmarkStart w:id="157"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57"/>
    <w:bookmarkStart w:id="158"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58"/>
    <w:bookmarkStart w:id="159"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59"/>
    <w:bookmarkStart w:id="160"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60"/>
    <w:bookmarkStart w:id="161"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58"/>
        </w:numPr>
      </w:pPr>
      <w:r>
        <w:t xml:space="preserve">Maintain human agency and judgment at the center of decision-making</w:t>
      </w:r>
    </w:p>
    <w:p>
      <w:pPr>
        <w:pStyle w:val="Compact"/>
        <w:numPr>
          <w:ilvl w:val="0"/>
          <w:numId w:val="1058"/>
        </w:numPr>
      </w:pPr>
      <w:r>
        <w:t xml:space="preserve">Design AI systems that complement rather than replace human capabilities</w:t>
      </w:r>
    </w:p>
    <w:p>
      <w:pPr>
        <w:pStyle w:val="Compact"/>
        <w:numPr>
          <w:ilvl w:val="0"/>
          <w:numId w:val="1058"/>
        </w:numPr>
      </w:pPr>
      <w:r>
        <w:t xml:space="preserve">Focus on transparency and explainability in AI systems</w:t>
      </w:r>
    </w:p>
    <w:p>
      <w:pPr>
        <w:pStyle w:val="Compact"/>
        <w:numPr>
          <w:ilvl w:val="0"/>
          <w:numId w:val="1058"/>
        </w:numPr>
      </w:pPr>
      <w:r>
        <w:t xml:space="preserve">Prioritize human-AI collaboration over full automation</w:t>
      </w:r>
    </w:p>
    <w:p>
      <w:pPr>
        <w:pStyle w:val="Compact"/>
        <w:numPr>
          <w:ilvl w:val="0"/>
          <w:numId w:val="1058"/>
        </w:numPr>
      </w:pPr>
      <w:r>
        <w:t xml:space="preserve">Invest in human skill development alongside AI capabilities</w:t>
      </w:r>
    </w:p>
    <w:bookmarkEnd w:id="161"/>
    <w:bookmarkStart w:id="162"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59"/>
        </w:numPr>
      </w:pPr>
      <w:r>
        <w:t xml:space="preserve">Regulations requiring human oversight of critical AI systems</w:t>
      </w:r>
    </w:p>
    <w:p>
      <w:pPr>
        <w:pStyle w:val="Compact"/>
        <w:numPr>
          <w:ilvl w:val="0"/>
          <w:numId w:val="1059"/>
        </w:numPr>
      </w:pPr>
      <w:r>
        <w:t xml:space="preserve">Standards for AI transparency and explainability</w:t>
      </w:r>
    </w:p>
    <w:p>
      <w:pPr>
        <w:pStyle w:val="Compact"/>
        <w:numPr>
          <w:ilvl w:val="0"/>
          <w:numId w:val="1059"/>
        </w:numPr>
      </w:pPr>
      <w:r>
        <w:t xml:space="preserve">Investment in education and training programs that prepare workers for human-AI collaboration</w:t>
      </w:r>
    </w:p>
    <w:p>
      <w:pPr>
        <w:pStyle w:val="Compact"/>
        <w:numPr>
          <w:ilvl w:val="0"/>
          <w:numId w:val="1059"/>
        </w:numPr>
      </w:pPr>
      <w:r>
        <w:t xml:space="preserve">Incentives for companies developing enhancement-focused AI applications</w:t>
      </w:r>
    </w:p>
    <w:bookmarkEnd w:id="162"/>
    <w:bookmarkStart w:id="163"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63"/>
    <w:bookmarkStart w:id="164"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64"/>
    <w:bookmarkEnd w:id="165"/>
    <w:bookmarkEnd w:id="166"/>
    <w:bookmarkStart w:id="167"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67"/>
    <w:bookmarkStart w:id="359" w:name="references"/>
    <w:p>
      <w:pPr>
        <w:pStyle w:val="Heading1"/>
      </w:pPr>
      <w:r>
        <w:t xml:space="preserve">References</w:t>
      </w:r>
    </w:p>
    <w:bookmarkStart w:id="358" w:name="refs"/>
    <w:bookmarkStart w:id="169"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68">
        <w:r>
          <w:rPr>
            <w:rStyle w:val="Hyperlink"/>
          </w:rPr>
          <w:t xml:space="preserve">http://arxiv.org/abs/2404.14219</w:t>
        </w:r>
      </w:hyperlink>
      <w:r>
        <w:t xml:space="preserve">.</w:t>
      </w:r>
    </w:p>
    <w:bookmarkEnd w:id="169"/>
    <w:bookmarkStart w:id="171"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70">
        <w:r>
          <w:rPr>
            <w:rStyle w:val="Hyperlink"/>
          </w:rPr>
          <w:t xml:space="preserve">http://arxiv.org/abs/2403.04652</w:t>
        </w:r>
      </w:hyperlink>
      <w:r>
        <w:t xml:space="preserve">.</w:t>
      </w:r>
    </w:p>
    <w:bookmarkEnd w:id="171"/>
    <w:bookmarkStart w:id="173"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72">
        <w:r>
          <w:rPr>
            <w:rStyle w:val="Hyperlink"/>
          </w:rPr>
          <w:t xml:space="preserve">https://doi.org/10.1101/2023.09.11.556673</w:t>
        </w:r>
      </w:hyperlink>
      <w:r>
        <w:t xml:space="preserve">.</w:t>
      </w:r>
    </w:p>
    <w:bookmarkEnd w:id="173"/>
    <w:bookmarkStart w:id="175"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74">
        <w:r>
          <w:rPr>
            <w:rStyle w:val="Hyperlink"/>
          </w:rPr>
          <w:t xml:space="preserve">https://doi.org/10.1145/3442188.3445922</w:t>
        </w:r>
      </w:hyperlink>
      <w:r>
        <w:t xml:space="preserve">.</w:t>
      </w:r>
    </w:p>
    <w:bookmarkEnd w:id="175"/>
    <w:bookmarkStart w:id="177"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76">
        <w:r>
          <w:rPr>
            <w:rStyle w:val="Hyperlink"/>
          </w:rPr>
          <w:t xml:space="preserve">http://arxiv.org/abs/2309.12288</w:t>
        </w:r>
      </w:hyperlink>
      <w:r>
        <w:t xml:space="preserve">.</w:t>
      </w:r>
    </w:p>
    <w:bookmarkEnd w:id="177"/>
    <w:bookmarkStart w:id="179"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78">
        <w:r>
          <w:rPr>
            <w:rStyle w:val="Hyperlink"/>
          </w:rPr>
          <w:t xml:space="preserve">http://arxiv.org/abs/2312.16171</w:t>
        </w:r>
      </w:hyperlink>
      <w:r>
        <w:t xml:space="preserve">.</w:t>
      </w:r>
    </w:p>
    <w:bookmarkEnd w:id="179"/>
    <w:bookmarkStart w:id="181"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80">
        <w:r>
          <w:rPr>
            <w:rStyle w:val="Hyperlink"/>
          </w:rPr>
          <w:t xml:space="preserve">https://doi.org/10.1038/s41598-024-61221-0</w:t>
        </w:r>
      </w:hyperlink>
      <w:r>
        <w:t xml:space="preserve">.</w:t>
      </w:r>
    </w:p>
    <w:bookmarkEnd w:id="181"/>
    <w:bookmarkStart w:id="183"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82">
        <w:r>
          <w:rPr>
            <w:rStyle w:val="Hyperlink"/>
          </w:rPr>
          <w:t xml:space="preserve">https://doi.org/10.48550/ARXIV.2308.08708</w:t>
        </w:r>
      </w:hyperlink>
      <w:r>
        <w:t xml:space="preserve">.</w:t>
      </w:r>
    </w:p>
    <w:bookmarkEnd w:id="183"/>
    <w:bookmarkStart w:id="185"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84">
        <w:r>
          <w:rPr>
            <w:rStyle w:val="Hyperlink"/>
          </w:rPr>
          <w:t xml:space="preserve">http://arxiv.org/abs/2403.06634</w:t>
        </w:r>
      </w:hyperlink>
      <w:r>
        <w:t xml:space="preserve">.</w:t>
      </w:r>
    </w:p>
    <w:bookmarkEnd w:id="185"/>
    <w:bookmarkStart w:id="187"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86">
        <w:r>
          <w:rPr>
            <w:rStyle w:val="Hyperlink"/>
          </w:rPr>
          <w:t xml:space="preserve">https://doi.org/10.48550/ARXIV.2305.00118</w:t>
        </w:r>
      </w:hyperlink>
      <w:r>
        <w:t xml:space="preserve">.</w:t>
      </w:r>
    </w:p>
    <w:bookmarkEnd w:id="187"/>
    <w:bookmarkStart w:id="189"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88">
        <w:r>
          <w:rPr>
            <w:rStyle w:val="Hyperlink"/>
          </w:rPr>
          <w:t xml:space="preserve">http://arxiv.org/abs/2305.00118</w:t>
        </w:r>
      </w:hyperlink>
      <w:r>
        <w:t xml:space="preserve">.</w:t>
      </w:r>
    </w:p>
    <w:bookmarkEnd w:id="189"/>
    <w:bookmarkStart w:id="191"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90">
        <w:r>
          <w:rPr>
            <w:rStyle w:val="Hyperlink"/>
          </w:rPr>
          <w:t xml:space="preserve">https://doi.org/10.1038/s41591-018-0107-6</w:t>
        </w:r>
      </w:hyperlink>
      <w:r>
        <w:t xml:space="preserve">.</w:t>
      </w:r>
    </w:p>
    <w:bookmarkEnd w:id="191"/>
    <w:bookmarkStart w:id="193"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92">
        <w:r>
          <w:rPr>
            <w:rStyle w:val="Hyperlink"/>
          </w:rPr>
          <w:t xml:space="preserve">http://arxiv.org/abs/2309.03613</w:t>
        </w:r>
      </w:hyperlink>
      <w:r>
        <w:t xml:space="preserve">.</w:t>
      </w:r>
    </w:p>
    <w:bookmarkEnd w:id="193"/>
    <w:bookmarkStart w:id="195"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94">
        <w:r>
          <w:rPr>
            <w:rStyle w:val="Hyperlink"/>
          </w:rPr>
          <w:t xml:space="preserve">https://doi.org/10.48550/ARXIV.2104.08758</w:t>
        </w:r>
      </w:hyperlink>
      <w:r>
        <w:t xml:space="preserve">.</w:t>
      </w:r>
    </w:p>
    <w:bookmarkEnd w:id="195"/>
    <w:bookmarkStart w:id="197"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96">
        <w:r>
          <w:rPr>
            <w:rStyle w:val="Hyperlink"/>
          </w:rPr>
          <w:t xml:space="preserve">https://doi.org/10.1080/09515080701239510</w:t>
        </w:r>
      </w:hyperlink>
      <w:r>
        <w:t xml:space="preserve">.</w:t>
      </w:r>
    </w:p>
    <w:bookmarkEnd w:id="197"/>
    <w:bookmarkStart w:id="199"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98">
        <w:r>
          <w:rPr>
            <w:rStyle w:val="Hyperlink"/>
          </w:rPr>
          <w:t xml:space="preserve">https://epochai.org/data/large-scale-ai-models</w:t>
        </w:r>
      </w:hyperlink>
      <w:r>
        <w:t xml:space="preserve">.</w:t>
      </w:r>
    </w:p>
    <w:bookmarkEnd w:id="199"/>
    <w:bookmarkStart w:id="201"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200">
        <w:r>
          <w:rPr>
            <w:rStyle w:val="Hyperlink"/>
          </w:rPr>
          <w:t xml:space="preserve">http://arxiv.org/abs/2309.11690</w:t>
        </w:r>
      </w:hyperlink>
      <w:r>
        <w:t xml:space="preserve">.</w:t>
      </w:r>
    </w:p>
    <w:bookmarkEnd w:id="201"/>
    <w:bookmarkStart w:id="203"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202">
        <w:r>
          <w:rPr>
            <w:rStyle w:val="Hyperlink"/>
          </w:rPr>
          <w:t xml:space="preserve">https://doi.org/10.1038/s41591-018-0316-z</w:t>
        </w:r>
      </w:hyperlink>
      <w:r>
        <w:t xml:space="preserve">.</w:t>
      </w:r>
    </w:p>
    <w:bookmarkEnd w:id="203"/>
    <w:bookmarkStart w:id="205"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204">
        <w:r>
          <w:rPr>
            <w:rStyle w:val="Hyperlink"/>
          </w:rPr>
          <w:t xml:space="preserve">https://doi.org/10.48550/ARXIV.2305.08283</w:t>
        </w:r>
      </w:hyperlink>
      <w:r>
        <w:t xml:space="preserve">.</w:t>
      </w:r>
    </w:p>
    <w:bookmarkEnd w:id="205"/>
    <w:bookmarkStart w:id="207"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206">
        <w:r>
          <w:rPr>
            <w:rStyle w:val="Hyperlink"/>
          </w:rPr>
          <w:t xml:space="preserve">https://doi.org/10.1001/jamanetworkopen.2024.40969</w:t>
        </w:r>
      </w:hyperlink>
      <w:r>
        <w:t xml:space="preserve">.</w:t>
      </w:r>
    </w:p>
    <w:bookmarkEnd w:id="207"/>
    <w:bookmarkStart w:id="209"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208">
        <w:r>
          <w:rPr>
            <w:rStyle w:val="Hyperlink"/>
          </w:rPr>
          <w:t xml:space="preserve">https://doi.org/10.1126/science.adi1778</w:t>
        </w:r>
      </w:hyperlink>
      <w:r>
        <w:t xml:space="preserve">.</w:t>
      </w:r>
    </w:p>
    <w:bookmarkEnd w:id="209"/>
    <w:bookmarkStart w:id="211"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210">
        <w:r>
          <w:rPr>
            <w:rStyle w:val="Hyperlink"/>
          </w:rPr>
          <w:t xml:space="preserve">http://arxiv.org/abs/2308.12539</w:t>
        </w:r>
      </w:hyperlink>
      <w:r>
        <w:t xml:space="preserve">.</w:t>
      </w:r>
    </w:p>
    <w:bookmarkEnd w:id="211"/>
    <w:bookmarkStart w:id="213"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212">
        <w:r>
          <w:rPr>
            <w:rStyle w:val="Hyperlink"/>
          </w:rPr>
          <w:t xml:space="preserve">http://arxiv.org/abs/2404.03264</w:t>
        </w:r>
      </w:hyperlink>
      <w:r>
        <w:t xml:space="preserve">.</w:t>
      </w:r>
    </w:p>
    <w:bookmarkEnd w:id="213"/>
    <w:bookmarkStart w:id="215"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214">
        <w:r>
          <w:rPr>
            <w:rStyle w:val="Hyperlink"/>
          </w:rPr>
          <w:t xml:space="preserve">http://arxiv.org/abs/2302.09210</w:t>
        </w:r>
      </w:hyperlink>
      <w:r>
        <w:t xml:space="preserve">.</w:t>
      </w:r>
    </w:p>
    <w:bookmarkEnd w:id="215"/>
    <w:bookmarkStart w:id="217"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216">
        <w:r>
          <w:rPr>
            <w:rStyle w:val="Hyperlink"/>
          </w:rPr>
          <w:t xml:space="preserve">https://doi.org/10.1007/s10676-024-09775-5</w:t>
        </w:r>
      </w:hyperlink>
      <w:r>
        <w:t xml:space="preserve">.</w:t>
      </w:r>
    </w:p>
    <w:bookmarkEnd w:id="217"/>
    <w:bookmarkStart w:id="219"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18">
        <w:r>
          <w:rPr>
            <w:rStyle w:val="Hyperlink"/>
          </w:rPr>
          <w:t xml:space="preserve">http://arxiv.org/abs/2203.15556</w:t>
        </w:r>
      </w:hyperlink>
      <w:r>
        <w:t xml:space="preserve">.</w:t>
      </w:r>
    </w:p>
    <w:bookmarkEnd w:id="219"/>
    <w:bookmarkStart w:id="221"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20">
        <w:r>
          <w:rPr>
            <w:rStyle w:val="Hyperlink"/>
          </w:rPr>
          <w:t xml:space="preserve">https://doi.org/10.1093/jncics/pkad010</w:t>
        </w:r>
      </w:hyperlink>
      <w:r>
        <w:t xml:space="preserve">.</w:t>
      </w:r>
    </w:p>
    <w:bookmarkEnd w:id="221"/>
    <w:bookmarkStart w:id="223"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22">
        <w:r>
          <w:rPr>
            <w:rStyle w:val="Hyperlink"/>
          </w:rPr>
          <w:t xml:space="preserve">https://doi.org/10.2196/48966</w:t>
        </w:r>
      </w:hyperlink>
      <w:r>
        <w:t xml:space="preserve">.</w:t>
      </w:r>
    </w:p>
    <w:bookmarkEnd w:id="223"/>
    <w:bookmarkStart w:id="225"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24">
        <w:r>
          <w:rPr>
            <w:rStyle w:val="Hyperlink"/>
          </w:rPr>
          <w:t xml:space="preserve">https://doi.org/10.2139/ssrn.2325101</w:t>
        </w:r>
      </w:hyperlink>
      <w:r>
        <w:t xml:space="preserve">.</w:t>
      </w:r>
    </w:p>
    <w:bookmarkEnd w:id="225"/>
    <w:bookmarkStart w:id="227"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26">
        <w:r>
          <w:rPr>
            <w:rStyle w:val="Hyperlink"/>
          </w:rPr>
          <w:t xml:space="preserve">http://arxiv.org/abs/2404.18021</w:t>
        </w:r>
      </w:hyperlink>
      <w:r>
        <w:t xml:space="preserve">.</w:t>
      </w:r>
    </w:p>
    <w:bookmarkEnd w:id="227"/>
    <w:bookmarkStart w:id="229"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28">
        <w:r>
          <w:rPr>
            <w:rStyle w:val="Hyperlink"/>
          </w:rPr>
          <w:t xml:space="preserve">https://doi.org/10.1073/pnas.2304748120</w:t>
        </w:r>
      </w:hyperlink>
      <w:r>
        <w:t xml:space="preserve">.</w:t>
      </w:r>
    </w:p>
    <w:bookmarkEnd w:id="229"/>
    <w:bookmarkStart w:id="231"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30">
        <w:r>
          <w:rPr>
            <w:rStyle w:val="Hyperlink"/>
          </w:rPr>
          <w:t xml:space="preserve">https://doi.org/10.48550/ARXIV.2305.08596</w:t>
        </w:r>
      </w:hyperlink>
      <w:r>
        <w:t xml:space="preserve">.</w:t>
      </w:r>
    </w:p>
    <w:bookmarkEnd w:id="231"/>
    <w:bookmarkStart w:id="233"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32">
        <w:r>
          <w:rPr>
            <w:rStyle w:val="Hyperlink"/>
          </w:rPr>
          <w:t xml:space="preserve">http://arxiv.org/abs/2402.04845</w:t>
        </w:r>
      </w:hyperlink>
      <w:r>
        <w:t xml:space="preserve">.</w:t>
      </w:r>
    </w:p>
    <w:bookmarkEnd w:id="233"/>
    <w:bookmarkStart w:id="235"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34">
        <w:r>
          <w:rPr>
            <w:rStyle w:val="Hyperlink"/>
          </w:rPr>
          <w:t xml:space="preserve">https://doi.org/10.48550/ARXIV.2307.10169</w:t>
        </w:r>
      </w:hyperlink>
      <w:r>
        <w:t xml:space="preserve">.</w:t>
      </w:r>
    </w:p>
    <w:bookmarkEnd w:id="235"/>
    <w:bookmarkStart w:id="237"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36">
        <w:r>
          <w:rPr>
            <w:rStyle w:val="Hyperlink"/>
          </w:rPr>
          <w:t xml:space="preserve">http://arxiv.org/abs/2401.06416</w:t>
        </w:r>
      </w:hyperlink>
      <w:r>
        <w:t xml:space="preserve">.</w:t>
      </w:r>
    </w:p>
    <w:bookmarkEnd w:id="237"/>
    <w:bookmarkStart w:id="239"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38">
        <w:r>
          <w:rPr>
            <w:rStyle w:val="Hyperlink"/>
          </w:rPr>
          <w:t xml:space="preserve">https://doi.org/10.1001/jama.2023.8288</w:t>
        </w:r>
      </w:hyperlink>
      <w:r>
        <w:t xml:space="preserve">.</w:t>
      </w:r>
    </w:p>
    <w:bookmarkEnd w:id="239"/>
    <w:bookmarkStart w:id="241"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40">
        <w:r>
          <w:rPr>
            <w:rStyle w:val="Hyperlink"/>
          </w:rPr>
          <w:t xml:space="preserve">https://doi.org/10.1016/j.mcpdig.2023.08.005</w:t>
        </w:r>
      </w:hyperlink>
      <w:r>
        <w:t xml:space="preserve">.</w:t>
      </w:r>
    </w:p>
    <w:bookmarkEnd w:id="241"/>
    <w:bookmarkStart w:id="243"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42">
        <w:r>
          <w:rPr>
            <w:rStyle w:val="Hyperlink"/>
          </w:rPr>
          <w:t xml:space="preserve">https://doi.org/10.1038/s41571-020-0329-7</w:t>
        </w:r>
      </w:hyperlink>
      <w:r>
        <w:t xml:space="preserve">.</w:t>
      </w:r>
    </w:p>
    <w:bookmarkEnd w:id="243"/>
    <w:bookmarkStart w:id="245"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44">
        <w:r>
          <w:rPr>
            <w:rStyle w:val="Hyperlink"/>
          </w:rPr>
          <w:t xml:space="preserve">http://arxiv.org/abs/2401.06866</w:t>
        </w:r>
      </w:hyperlink>
      <w:r>
        <w:t xml:space="preserve">.</w:t>
      </w:r>
    </w:p>
    <w:bookmarkEnd w:id="245"/>
    <w:bookmarkStart w:id="247"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46">
        <w:r>
          <w:rPr>
            <w:rStyle w:val="Hyperlink"/>
          </w:rPr>
          <w:t xml:space="preserve">https://doi.org/10.1101/2022.12.19.22283643</w:t>
        </w:r>
      </w:hyperlink>
      <w:r>
        <w:t xml:space="preserve">.</w:t>
      </w:r>
    </w:p>
    <w:bookmarkEnd w:id="247"/>
    <w:bookmarkStart w:id="248"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48"/>
    <w:bookmarkStart w:id="249"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49"/>
    <w:bookmarkStart w:id="251"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50">
        <w:r>
          <w:rPr>
            <w:rStyle w:val="Hyperlink"/>
          </w:rPr>
          <w:t xml:space="preserve">https://doi.org/10.1016/j.oret.2016.12.009</w:t>
        </w:r>
      </w:hyperlink>
      <w:r>
        <w:t xml:space="preserve">.</w:t>
      </w:r>
    </w:p>
    <w:bookmarkEnd w:id="251"/>
    <w:bookmarkStart w:id="253"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52">
        <w:r>
          <w:rPr>
            <w:rStyle w:val="Hyperlink"/>
          </w:rPr>
          <w:t xml:space="preserve">https://doi.org/10.1056/NEJMsr2214184</w:t>
        </w:r>
      </w:hyperlink>
      <w:r>
        <w:t xml:space="preserve">.</w:t>
      </w:r>
    </w:p>
    <w:bookmarkEnd w:id="253"/>
    <w:bookmarkStart w:id="254"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54"/>
    <w:bookmarkStart w:id="256"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55">
        <w:r>
          <w:rPr>
            <w:rStyle w:val="Hyperlink"/>
          </w:rPr>
          <w:t xml:space="preserve">http://arxiv.org/abs/2210.12889</w:t>
        </w:r>
      </w:hyperlink>
      <w:r>
        <w:t xml:space="preserve">.</w:t>
      </w:r>
    </w:p>
    <w:bookmarkEnd w:id="256"/>
    <w:bookmarkStart w:id="258"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57">
        <w:r>
          <w:rPr>
            <w:rStyle w:val="Hyperlink"/>
          </w:rPr>
          <w:t xml:space="preserve">http://arxiv.org/abs/2308.04445</w:t>
        </w:r>
      </w:hyperlink>
      <w:r>
        <w:t xml:space="preserve">.</w:t>
      </w:r>
    </w:p>
    <w:bookmarkEnd w:id="258"/>
    <w:bookmarkStart w:id="260"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59">
        <w:r>
          <w:rPr>
            <w:rStyle w:val="Hyperlink"/>
          </w:rPr>
          <w:t xml:space="preserve">http://arxiv.org/abs/2403.20041</w:t>
        </w:r>
      </w:hyperlink>
      <w:r>
        <w:t xml:space="preserve">.</w:t>
      </w:r>
    </w:p>
    <w:bookmarkEnd w:id="260"/>
    <w:bookmarkStart w:id="262"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61">
        <w:r>
          <w:rPr>
            <w:rStyle w:val="Hyperlink"/>
          </w:rPr>
          <w:t xml:space="preserve">http://arxiv.org/abs/2304.09848</w:t>
        </w:r>
      </w:hyperlink>
      <w:r>
        <w:t xml:space="preserve">.</w:t>
      </w:r>
    </w:p>
    <w:bookmarkEnd w:id="262"/>
    <w:bookmarkStart w:id="264"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63">
        <w:r>
          <w:rPr>
            <w:rStyle w:val="Hyperlink"/>
          </w:rPr>
          <w:t xml:space="preserve">https://doi.org/10.48550/ARXIV.2308.03688</w:t>
        </w:r>
      </w:hyperlink>
      <w:r>
        <w:t xml:space="preserve">.</w:t>
      </w:r>
    </w:p>
    <w:bookmarkEnd w:id="264"/>
    <w:bookmarkStart w:id="266"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65">
        <w:r>
          <w:rPr>
            <w:rStyle w:val="Hyperlink"/>
          </w:rPr>
          <w:t xml:space="preserve">http://arxiv.org/abs/2402.14905</w:t>
        </w:r>
      </w:hyperlink>
      <w:r>
        <w:t xml:space="preserve">.</w:t>
      </w:r>
    </w:p>
    <w:bookmarkEnd w:id="266"/>
    <w:bookmarkStart w:id="268"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67">
        <w:r>
          <w:rPr>
            <w:rStyle w:val="Hyperlink"/>
          </w:rPr>
          <w:t xml:space="preserve">https://doi.org/10.48550/ARXIV.2209.07663</w:t>
        </w:r>
      </w:hyperlink>
      <w:r>
        <w:t xml:space="preserve">.</w:t>
      </w:r>
    </w:p>
    <w:bookmarkEnd w:id="268"/>
    <w:bookmarkStart w:id="270"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69">
        <w:r>
          <w:rPr>
            <w:rStyle w:val="Hyperlink"/>
          </w:rPr>
          <w:t xml:space="preserve">http://arxiv.org/abs/2408.06292</w:t>
        </w:r>
      </w:hyperlink>
      <w:r>
        <w:t xml:space="preserve">.</w:t>
      </w:r>
    </w:p>
    <w:bookmarkEnd w:id="270"/>
    <w:bookmarkStart w:id="272"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71">
        <w:r>
          <w:rPr>
            <w:rStyle w:val="Hyperlink"/>
          </w:rPr>
          <w:t xml:space="preserve">https://doi.org/10.1093/bib/bbac409</w:t>
        </w:r>
      </w:hyperlink>
      <w:r>
        <w:t xml:space="preserve">.</w:t>
      </w:r>
    </w:p>
    <w:bookmarkEnd w:id="272"/>
    <w:bookmarkStart w:id="274"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73">
        <w:r>
          <w:rPr>
            <w:rStyle w:val="Hyperlink"/>
          </w:rPr>
          <w:t xml:space="preserve">http://arxiv.org/abs/2408.11876</w:t>
        </w:r>
      </w:hyperlink>
      <w:r>
        <w:t xml:space="preserve">.</w:t>
      </w:r>
    </w:p>
    <w:bookmarkEnd w:id="274"/>
    <w:bookmarkStart w:id="276"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75">
        <w:r>
          <w:rPr>
            <w:rStyle w:val="Hyperlink"/>
          </w:rPr>
          <w:t xml:space="preserve">https://doi.org/10.48550/ARXIV.2306.14308</w:t>
        </w:r>
      </w:hyperlink>
      <w:r>
        <w:t xml:space="preserve">.</w:t>
      </w:r>
    </w:p>
    <w:bookmarkEnd w:id="276"/>
    <w:bookmarkStart w:id="278"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77">
        <w:r>
          <w:rPr>
            <w:rStyle w:val="Hyperlink"/>
          </w:rPr>
          <w:t xml:space="preserve">http://arxiv.org/abs/2301.06627</w:t>
        </w:r>
      </w:hyperlink>
      <w:r>
        <w:t xml:space="preserve">.</w:t>
      </w:r>
    </w:p>
    <w:bookmarkEnd w:id="278"/>
    <w:bookmarkStart w:id="280"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79">
        <w:r>
          <w:rPr>
            <w:rStyle w:val="Hyperlink"/>
          </w:rPr>
          <w:t xml:space="preserve">http://arxiv.org/abs/2309.02884</w:t>
        </w:r>
      </w:hyperlink>
      <w:r>
        <w:t xml:space="preserve">.</w:t>
      </w:r>
    </w:p>
    <w:bookmarkEnd w:id="280"/>
    <w:bookmarkStart w:id="282"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81">
        <w:r>
          <w:rPr>
            <w:rStyle w:val="Hyperlink"/>
          </w:rPr>
          <w:t xml:space="preserve">http://arxiv.org/abs/2312.00164</w:t>
        </w:r>
      </w:hyperlink>
      <w:r>
        <w:t xml:space="preserve">.</w:t>
      </w:r>
    </w:p>
    <w:bookmarkEnd w:id="282"/>
    <w:bookmarkStart w:id="284"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83">
        <w:r>
          <w:rPr>
            <w:rStyle w:val="Hyperlink"/>
          </w:rPr>
          <w:t xml:space="preserve">https://doi.org/10.2196/50638</w:t>
        </w:r>
      </w:hyperlink>
      <w:r>
        <w:t xml:space="preserve">.</w:t>
      </w:r>
    </w:p>
    <w:bookmarkEnd w:id="284"/>
    <w:bookmarkStart w:id="286"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85">
        <w:r>
          <w:rPr>
            <w:rStyle w:val="Hyperlink"/>
          </w:rPr>
          <w:t xml:space="preserve">https://doi.org/10.1038/s41746-023-00873-0</w:t>
        </w:r>
      </w:hyperlink>
      <w:r>
        <w:t xml:space="preserve">.</w:t>
      </w:r>
    </w:p>
    <w:bookmarkEnd w:id="286"/>
    <w:bookmarkStart w:id="288"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87">
        <w:r>
          <w:rPr>
            <w:rStyle w:val="Hyperlink"/>
          </w:rPr>
          <w:t xml:space="preserve">http://arxiv.org/abs/2401.03910</w:t>
        </w:r>
      </w:hyperlink>
      <w:r>
        <w:t xml:space="preserve">.</w:t>
      </w:r>
    </w:p>
    <w:bookmarkEnd w:id="288"/>
    <w:bookmarkStart w:id="289"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89"/>
    <w:bookmarkStart w:id="291"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90">
        <w:r>
          <w:rPr>
            <w:rStyle w:val="Hyperlink"/>
          </w:rPr>
          <w:t xml:space="preserve">https://doi.org/10.48550/ARXIV.2303.13375</w:t>
        </w:r>
      </w:hyperlink>
      <w:r>
        <w:t xml:space="preserve">.</w:t>
      </w:r>
    </w:p>
    <w:bookmarkEnd w:id="291"/>
    <w:bookmarkStart w:id="293"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92">
        <w:r>
          <w:rPr>
            <w:rStyle w:val="Hyperlink"/>
          </w:rPr>
          <w:t xml:space="preserve">https://doi.org/10.1038/s41586-023-06802-1</w:t>
        </w:r>
      </w:hyperlink>
      <w:r>
        <w:t xml:space="preserve">.</w:t>
      </w:r>
    </w:p>
    <w:bookmarkEnd w:id="293"/>
    <w:bookmarkStart w:id="295"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94">
        <w:r>
          <w:rPr>
            <w:rStyle w:val="Hyperlink"/>
          </w:rPr>
          <w:t xml:space="preserve">http://arxiv.org/abs/2310.17623</w:t>
        </w:r>
      </w:hyperlink>
      <w:r>
        <w:t xml:space="preserve">.</w:t>
      </w:r>
    </w:p>
    <w:bookmarkEnd w:id="295"/>
    <w:bookmarkStart w:id="297"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96">
        <w:r>
          <w:rPr>
            <w:rStyle w:val="Hyperlink"/>
          </w:rPr>
          <w:t xml:space="preserve">http://arxiv.org/abs/2403.17881</w:t>
        </w:r>
      </w:hyperlink>
      <w:r>
        <w:t xml:space="preserve">.</w:t>
      </w:r>
    </w:p>
    <w:bookmarkEnd w:id="297"/>
    <w:bookmarkStart w:id="299"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98">
        <w:r>
          <w:rPr>
            <w:rStyle w:val="Hyperlink"/>
          </w:rPr>
          <w:t xml:space="preserve">http://arxiv.org/abs/2309.08594</w:t>
        </w:r>
      </w:hyperlink>
      <w:r>
        <w:t xml:space="preserve">.</w:t>
      </w:r>
    </w:p>
    <w:bookmarkEnd w:id="299"/>
    <w:bookmarkStart w:id="301"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300">
        <w:r>
          <w:rPr>
            <w:rStyle w:val="Hyperlink"/>
          </w:rPr>
          <w:t xml:space="preserve">http://arxiv.org/abs/2402.13963</w:t>
        </w:r>
      </w:hyperlink>
      <w:r>
        <w:t xml:space="preserve">.</w:t>
      </w:r>
    </w:p>
    <w:bookmarkEnd w:id="301"/>
    <w:bookmarkStart w:id="303"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302">
        <w:r>
          <w:rPr>
            <w:rStyle w:val="Hyperlink"/>
          </w:rPr>
          <w:t xml:space="preserve">https://doi.org/10.1145/3531146.3533158</w:t>
        </w:r>
      </w:hyperlink>
      <w:r>
        <w:t xml:space="preserve">.</w:t>
      </w:r>
    </w:p>
    <w:bookmarkEnd w:id="303"/>
    <w:bookmarkStart w:id="305"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304">
        <w:r>
          <w:rPr>
            <w:rStyle w:val="Hyperlink"/>
          </w:rPr>
          <w:t xml:space="preserve">https://doi.org/10.2196/48659</w:t>
        </w:r>
      </w:hyperlink>
      <w:r>
        <w:t xml:space="preserve">.</w:t>
      </w:r>
    </w:p>
    <w:bookmarkEnd w:id="305"/>
    <w:bookmarkStart w:id="307"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306">
        <w:r>
          <w:rPr>
            <w:rStyle w:val="Hyperlink"/>
          </w:rPr>
          <w:t xml:space="preserve">https://doi.org/10.1038/s41586-023-06924-6</w:t>
        </w:r>
      </w:hyperlink>
      <w:r>
        <w:t xml:space="preserve">.</w:t>
      </w:r>
    </w:p>
    <w:bookmarkEnd w:id="307"/>
    <w:bookmarkStart w:id="309"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8">
        <w:r>
          <w:rPr>
            <w:rStyle w:val="Hyperlink"/>
          </w:rPr>
          <w:t xml:space="preserve">http://arxiv.org/abs/2402.16786</w:t>
        </w:r>
      </w:hyperlink>
      <w:r>
        <w:t xml:space="preserve">.</w:t>
      </w:r>
    </w:p>
    <w:bookmarkEnd w:id="309"/>
    <w:bookmarkStart w:id="311"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310">
        <w:r>
          <w:rPr>
            <w:rStyle w:val="Hyperlink"/>
          </w:rPr>
          <w:t xml:space="preserve">https://doi.org/10.3390/socsci12030148</w:t>
        </w:r>
      </w:hyperlink>
      <w:r>
        <w:t xml:space="preserve">.</w:t>
      </w:r>
    </w:p>
    <w:bookmarkEnd w:id="311"/>
    <w:bookmarkStart w:id="313"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312">
        <w:r>
          <w:rPr>
            <w:rStyle w:val="Hyperlink"/>
          </w:rPr>
          <w:t xml:space="preserve">http://arxiv.org/abs/2402.01789</w:t>
        </w:r>
      </w:hyperlink>
      <w:r>
        <w:t xml:space="preserve">.</w:t>
      </w:r>
    </w:p>
    <w:bookmarkEnd w:id="313"/>
    <w:bookmarkStart w:id="315"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314">
        <w:r>
          <w:rPr>
            <w:rStyle w:val="Hyperlink"/>
          </w:rPr>
          <w:t xml:space="preserve">http://arxiv.org/abs/2404.18416</w:t>
        </w:r>
      </w:hyperlink>
      <w:r>
        <w:t xml:space="preserve">.</w:t>
      </w:r>
    </w:p>
    <w:bookmarkEnd w:id="315"/>
    <w:bookmarkStart w:id="317"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316">
        <w:r>
          <w:rPr>
            <w:rStyle w:val="Hyperlink"/>
          </w:rPr>
          <w:t xml:space="preserve">http://arxiv.org/abs/2402.08797</w:t>
        </w:r>
      </w:hyperlink>
      <w:r>
        <w:t xml:space="preserve">.</w:t>
      </w:r>
    </w:p>
    <w:bookmarkEnd w:id="317"/>
    <w:bookmarkStart w:id="319"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18">
        <w:r>
          <w:rPr>
            <w:rStyle w:val="Hyperlink"/>
          </w:rPr>
          <w:t xml:space="preserve">http://arxiv.org/abs/2305.17493</w:t>
        </w:r>
      </w:hyperlink>
      <w:r>
        <w:t xml:space="preserve">.</w:t>
      </w:r>
    </w:p>
    <w:bookmarkEnd w:id="319"/>
    <w:bookmarkStart w:id="321"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20">
        <w:r>
          <w:rPr>
            <w:rStyle w:val="Hyperlink"/>
          </w:rPr>
          <w:t xml:space="preserve">https://doi.org/10.1038/s41586-023-06291-2</w:t>
        </w:r>
      </w:hyperlink>
      <w:r>
        <w:t xml:space="preserve">.</w:t>
      </w:r>
    </w:p>
    <w:bookmarkEnd w:id="321"/>
    <w:bookmarkStart w:id="323"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22">
        <w:r>
          <w:rPr>
            <w:rStyle w:val="Hyperlink"/>
          </w:rPr>
          <w:t xml:space="preserve">https://doi.org/10.1016/j.ajp.2023.103705</w:t>
        </w:r>
      </w:hyperlink>
      <w:r>
        <w:t xml:space="preserve">.</w:t>
      </w:r>
    </w:p>
    <w:bookmarkEnd w:id="323"/>
    <w:bookmarkStart w:id="325"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24">
        <w:r>
          <w:rPr>
            <w:rStyle w:val="Hyperlink"/>
          </w:rPr>
          <w:t xml:space="preserve">http://arxiv.org/abs/2407.09025</w:t>
        </w:r>
      </w:hyperlink>
      <w:r>
        <w:t xml:space="preserve">.</w:t>
      </w:r>
    </w:p>
    <w:bookmarkEnd w:id="325"/>
    <w:bookmarkStart w:id="327"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26">
        <w:r>
          <w:rPr>
            <w:rStyle w:val="Hyperlink"/>
          </w:rPr>
          <w:t xml:space="preserve">https://doi.org/10.48550/ARXIV.2401.05654</w:t>
        </w:r>
      </w:hyperlink>
      <w:r>
        <w:t xml:space="preserve">.</w:t>
      </w:r>
    </w:p>
    <w:bookmarkEnd w:id="327"/>
    <w:bookmarkStart w:id="329"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28">
        <w:r>
          <w:rPr>
            <w:rStyle w:val="Hyperlink"/>
          </w:rPr>
          <w:t xml:space="preserve">http://arxiv.org/abs/2404.04125</w:t>
        </w:r>
      </w:hyperlink>
      <w:r>
        <w:t xml:space="preserve">.</w:t>
      </w:r>
    </w:p>
    <w:bookmarkEnd w:id="329"/>
    <w:bookmarkStart w:id="331"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30">
        <w:r>
          <w:rPr>
            <w:rStyle w:val="Hyperlink"/>
          </w:rPr>
          <w:t xml:space="preserve">http://arxiv.org/abs/2211.04325</w:t>
        </w:r>
      </w:hyperlink>
      <w:r>
        <w:t xml:space="preserve">.</w:t>
      </w:r>
    </w:p>
    <w:bookmarkEnd w:id="331"/>
    <w:bookmarkStart w:id="333"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32">
        <w:r>
          <w:rPr>
            <w:rStyle w:val="Hyperlink"/>
          </w:rPr>
          <w:t xml:space="preserve">http://arxiv.org/abs/2309.11758</w:t>
        </w:r>
      </w:hyperlink>
      <w:r>
        <w:t xml:space="preserve">.</w:t>
      </w:r>
    </w:p>
    <w:bookmarkEnd w:id="333"/>
    <w:bookmarkStart w:id="335"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34">
        <w:r>
          <w:rPr>
            <w:rStyle w:val="Hyperlink"/>
          </w:rPr>
          <w:t xml:space="preserve">http://arxiv.org/abs/2201.11903</w:t>
        </w:r>
      </w:hyperlink>
      <w:r>
        <w:t xml:space="preserve">.</w:t>
      </w:r>
    </w:p>
    <w:bookmarkEnd w:id="335"/>
    <w:bookmarkStart w:id="337"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36">
        <w:r>
          <w:rPr>
            <w:rStyle w:val="Hyperlink"/>
          </w:rPr>
          <w:t xml:space="preserve">http://arxiv.org/abs/2403.18802</w:t>
        </w:r>
      </w:hyperlink>
      <w:r>
        <w:t xml:space="preserve">.</w:t>
      </w:r>
    </w:p>
    <w:bookmarkEnd w:id="337"/>
    <w:bookmarkStart w:id="339"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38">
        <w:r>
          <w:rPr>
            <w:rStyle w:val="Hyperlink"/>
          </w:rPr>
          <w:t xml:space="preserve">http://arxiv.org/abs/2403.09751</w:t>
        </w:r>
      </w:hyperlink>
      <w:r>
        <w:t xml:space="preserve">.</w:t>
      </w:r>
    </w:p>
    <w:bookmarkEnd w:id="339"/>
    <w:bookmarkStart w:id="341"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40">
        <w:r>
          <w:rPr>
            <w:rStyle w:val="Hyperlink"/>
          </w:rPr>
          <w:t xml:space="preserve">http://arxiv.org/abs/2402.10588</w:t>
        </w:r>
      </w:hyperlink>
      <w:r>
        <w:t xml:space="preserve">.</w:t>
      </w:r>
    </w:p>
    <w:bookmarkEnd w:id="341"/>
    <w:bookmarkStart w:id="343"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42">
        <w:r>
          <w:rPr>
            <w:rStyle w:val="Hyperlink"/>
          </w:rPr>
          <w:t xml:space="preserve">https://doi.org/10.1038/s41746-023-00879-8</w:t>
        </w:r>
      </w:hyperlink>
      <w:r>
        <w:t xml:space="preserve">.</w:t>
      </w:r>
    </w:p>
    <w:bookmarkEnd w:id="343"/>
    <w:bookmarkStart w:id="345"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44">
        <w:r>
          <w:rPr>
            <w:rStyle w:val="Hyperlink"/>
          </w:rPr>
          <w:t xml:space="preserve">https://doi.org/10.1177/17456916231201401</w:t>
        </w:r>
      </w:hyperlink>
      <w:r>
        <w:t xml:space="preserve">.</w:t>
      </w:r>
    </w:p>
    <w:bookmarkEnd w:id="345"/>
    <w:bookmarkStart w:id="347"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46">
        <w:r>
          <w:rPr>
            <w:rStyle w:val="Hyperlink"/>
          </w:rPr>
          <w:t xml:space="preserve">https://doi.org/10.1016/j.patter.2023.100802</w:t>
        </w:r>
      </w:hyperlink>
      <w:r>
        <w:t xml:space="preserve">.</w:t>
      </w:r>
    </w:p>
    <w:bookmarkEnd w:id="347"/>
    <w:bookmarkStart w:id="349"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48">
        <w:r>
          <w:rPr>
            <w:rStyle w:val="Hyperlink"/>
          </w:rPr>
          <w:t xml:space="preserve">https://doi.org/10.2196/51308</w:t>
        </w:r>
      </w:hyperlink>
      <w:r>
        <w:t xml:space="preserve">.</w:t>
      </w:r>
    </w:p>
    <w:bookmarkEnd w:id="349"/>
    <w:bookmarkStart w:id="351"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50">
        <w:r>
          <w:rPr>
            <w:rStyle w:val="Hyperlink"/>
          </w:rPr>
          <w:t xml:space="preserve">https://doi.org/10.1038/s41592-024-02499-w</w:t>
        </w:r>
      </w:hyperlink>
      <w:r>
        <w:t xml:space="preserve">.</w:t>
      </w:r>
    </w:p>
    <w:bookmarkEnd w:id="351"/>
    <w:bookmarkStart w:id="353"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52">
        <w:r>
          <w:rPr>
            <w:rStyle w:val="Hyperlink"/>
          </w:rPr>
          <w:t xml:space="preserve">http://arxiv.org/abs/2312.07353</w:t>
        </w:r>
      </w:hyperlink>
      <w:r>
        <w:t xml:space="preserve">.</w:t>
      </w:r>
    </w:p>
    <w:bookmarkEnd w:id="353"/>
    <w:bookmarkStart w:id="355"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54">
        <w:r>
          <w:rPr>
            <w:rStyle w:val="Hyperlink"/>
          </w:rPr>
          <w:t xml:space="preserve">http://arxiv.org/abs/2406.04520</w:t>
        </w:r>
      </w:hyperlink>
      <w:r>
        <w:t xml:space="preserve">.</w:t>
      </w:r>
    </w:p>
    <w:bookmarkEnd w:id="355"/>
    <w:bookmarkStart w:id="357"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56">
        <w:r>
          <w:rPr>
            <w:rStyle w:val="Hyperlink"/>
          </w:rPr>
          <w:t xml:space="preserve">http://arxiv.org/abs/2307.13854</w:t>
        </w:r>
      </w:hyperlink>
      <w:r>
        <w:t xml:space="preserve">.</w:t>
      </w:r>
    </w:p>
    <w:bookmarkEnd w:id="357"/>
    <w:bookmarkEnd w:id="358"/>
    <w:bookmarkEnd w:id="359"/>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 Thomas Woodside and Helen Toner:</w:t>
      </w:r>
      <w:r>
        <w:t xml:space="preserve"> </w:t>
      </w:r>
      <w:hyperlink r:id="rId27">
        <w:r>
          <w:rPr>
            <w:rStyle w:val="Hyperlink"/>
          </w:rPr>
          <w:t xml:space="preserve">How Developers Steer Language Model Outputs: Large Language Models Explained, Part 2</w:t>
        </w:r>
      </w:hyperlink>
      <w:r>
        <w:t xml:space="preserve"> </w:t>
      </w:r>
      <w:r>
        <w:t xml:space="preserve">for a detailed but readable discussion.</w:t>
      </w:r>
    </w:p>
  </w:footnote>
  <w:footnote w:id="31">
    <w:p>
      <w:pPr>
        <w:pStyle w:val="FootnoteText"/>
      </w:pPr>
      <w:r>
        <w:rPr>
          <w:rStyle w:val="FootnoteReference"/>
        </w:rPr>
        <w:footnoteRef/>
      </w:r>
      <w:r>
        <w:t xml:space="preserve"> </w:t>
      </w:r>
      <w:r>
        <w:t xml:space="preserve">see</w:t>
      </w:r>
      <w:r>
        <w:t xml:space="preserve"> </w:t>
      </w:r>
      <w:hyperlink r:id="rId32">
        <w:r>
          <w:rPr>
            <w:rStyle w:val="Hyperlink"/>
          </w:rPr>
          <w:t xml:space="preserve">Apr 2023</w:t>
        </w:r>
      </w:hyperlink>
      <w:r>
        <w:t xml:space="preserve"> </w:t>
      </w:r>
      <w:r>
        <w:t xml:space="preserve">Chang et al. (2023a)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hyperlink" Id="rId334" Target="http://arxiv.org/abs/2201.11903" TargetMode="External" /><Relationship Type="http://schemas.openxmlformats.org/officeDocument/2006/relationships/hyperlink" Id="rId218" Target="http://arxiv.org/abs/2203.15556" TargetMode="External" /><Relationship Type="http://schemas.openxmlformats.org/officeDocument/2006/relationships/hyperlink" Id="rId255" Target="http://arxiv.org/abs/2210.12889" TargetMode="External" /><Relationship Type="http://schemas.openxmlformats.org/officeDocument/2006/relationships/hyperlink" Id="rId330" Target="http://arxiv.org/abs/2211.04325" TargetMode="External" /><Relationship Type="http://schemas.openxmlformats.org/officeDocument/2006/relationships/hyperlink" Id="rId277" Target="http://arxiv.org/abs/2301.06627" TargetMode="External" /><Relationship Type="http://schemas.openxmlformats.org/officeDocument/2006/relationships/hyperlink" Id="rId214" Target="http://arxiv.org/abs/2302.09210" TargetMode="External" /><Relationship Type="http://schemas.openxmlformats.org/officeDocument/2006/relationships/hyperlink" Id="rId261" Target="http://arxiv.org/abs/2304.09848" TargetMode="External" /><Relationship Type="http://schemas.openxmlformats.org/officeDocument/2006/relationships/hyperlink" Id="rId188" Target="http://arxiv.org/abs/2305.00118" TargetMode="External" /><Relationship Type="http://schemas.openxmlformats.org/officeDocument/2006/relationships/hyperlink" Id="rId318" Target="http://arxiv.org/abs/2305.17493" TargetMode="External" /><Relationship Type="http://schemas.openxmlformats.org/officeDocument/2006/relationships/hyperlink" Id="rId356" Target="http://arxiv.org/abs/2307.13854" TargetMode="External" /><Relationship Type="http://schemas.openxmlformats.org/officeDocument/2006/relationships/hyperlink" Id="rId257" Target="http://arxiv.org/abs/2308.04445" TargetMode="External" /><Relationship Type="http://schemas.openxmlformats.org/officeDocument/2006/relationships/hyperlink" Id="rId210" Target="http://arxiv.org/abs/2308.12539" TargetMode="External" /><Relationship Type="http://schemas.openxmlformats.org/officeDocument/2006/relationships/hyperlink" Id="rId279" Target="http://arxiv.org/abs/2309.02884" TargetMode="External" /><Relationship Type="http://schemas.openxmlformats.org/officeDocument/2006/relationships/hyperlink" Id="rId192" Target="http://arxiv.org/abs/2309.03613" TargetMode="External" /><Relationship Type="http://schemas.openxmlformats.org/officeDocument/2006/relationships/hyperlink" Id="rId298" Target="http://arxiv.org/abs/2309.08594" TargetMode="External" /><Relationship Type="http://schemas.openxmlformats.org/officeDocument/2006/relationships/hyperlink" Id="rId200" Target="http://arxiv.org/abs/2309.11690" TargetMode="External" /><Relationship Type="http://schemas.openxmlformats.org/officeDocument/2006/relationships/hyperlink" Id="rId332" Target="http://arxiv.org/abs/2309.11758" TargetMode="External" /><Relationship Type="http://schemas.openxmlformats.org/officeDocument/2006/relationships/hyperlink" Id="rId176" Target="http://arxiv.org/abs/2309.12288" TargetMode="External" /><Relationship Type="http://schemas.openxmlformats.org/officeDocument/2006/relationships/hyperlink" Id="rId294" Target="http://arxiv.org/abs/2310.17623" TargetMode="External" /><Relationship Type="http://schemas.openxmlformats.org/officeDocument/2006/relationships/hyperlink" Id="rId281" Target="http://arxiv.org/abs/2312.00164" TargetMode="External" /><Relationship Type="http://schemas.openxmlformats.org/officeDocument/2006/relationships/hyperlink" Id="rId352" Target="http://arxiv.org/abs/2312.07353" TargetMode="External" /><Relationship Type="http://schemas.openxmlformats.org/officeDocument/2006/relationships/hyperlink" Id="rId178" Target="http://arxiv.org/abs/2312.16171" TargetMode="External" /><Relationship Type="http://schemas.openxmlformats.org/officeDocument/2006/relationships/hyperlink" Id="rId287" Target="http://arxiv.org/abs/2401.03910" TargetMode="External" /><Relationship Type="http://schemas.openxmlformats.org/officeDocument/2006/relationships/hyperlink" Id="rId236" Target="http://arxiv.org/abs/2401.06416" TargetMode="External" /><Relationship Type="http://schemas.openxmlformats.org/officeDocument/2006/relationships/hyperlink" Id="rId244" Target="http://arxiv.org/abs/2401.06866" TargetMode="External" /><Relationship Type="http://schemas.openxmlformats.org/officeDocument/2006/relationships/hyperlink" Id="rId312" Target="http://arxiv.org/abs/2402.01789" TargetMode="External" /><Relationship Type="http://schemas.openxmlformats.org/officeDocument/2006/relationships/hyperlink" Id="rId232" Target="http://arxiv.org/abs/2402.04845" TargetMode="External" /><Relationship Type="http://schemas.openxmlformats.org/officeDocument/2006/relationships/hyperlink" Id="rId316" Target="http://arxiv.org/abs/2402.08797" TargetMode="External" /><Relationship Type="http://schemas.openxmlformats.org/officeDocument/2006/relationships/hyperlink" Id="rId340" Target="http://arxiv.org/abs/2402.10588" TargetMode="External" /><Relationship Type="http://schemas.openxmlformats.org/officeDocument/2006/relationships/hyperlink" Id="rId300" Target="http://arxiv.org/abs/2402.13963" TargetMode="External" /><Relationship Type="http://schemas.openxmlformats.org/officeDocument/2006/relationships/hyperlink" Id="rId265" Target="http://arxiv.org/abs/2402.14905" TargetMode="External" /><Relationship Type="http://schemas.openxmlformats.org/officeDocument/2006/relationships/hyperlink" Id="rId308" Target="http://arxiv.org/abs/2402.16786" TargetMode="External" /><Relationship Type="http://schemas.openxmlformats.org/officeDocument/2006/relationships/hyperlink" Id="rId170" Target="http://arxiv.org/abs/2403.04652" TargetMode="External" /><Relationship Type="http://schemas.openxmlformats.org/officeDocument/2006/relationships/hyperlink" Id="rId184" Target="http://arxiv.org/abs/2403.06634" TargetMode="External" /><Relationship Type="http://schemas.openxmlformats.org/officeDocument/2006/relationships/hyperlink" Id="rId338" Target="http://arxiv.org/abs/2403.09751" TargetMode="External" /><Relationship Type="http://schemas.openxmlformats.org/officeDocument/2006/relationships/hyperlink" Id="rId296" Target="http://arxiv.org/abs/2403.17881" TargetMode="External" /><Relationship Type="http://schemas.openxmlformats.org/officeDocument/2006/relationships/hyperlink" Id="rId336" Target="http://arxiv.org/abs/2403.18802" TargetMode="External" /><Relationship Type="http://schemas.openxmlformats.org/officeDocument/2006/relationships/hyperlink" Id="rId259" Target="http://arxiv.org/abs/2403.20041" TargetMode="External" /><Relationship Type="http://schemas.openxmlformats.org/officeDocument/2006/relationships/hyperlink" Id="rId212" Target="http://arxiv.org/abs/2404.03264" TargetMode="External" /><Relationship Type="http://schemas.openxmlformats.org/officeDocument/2006/relationships/hyperlink" Id="rId328" Target="http://arxiv.org/abs/2404.04125" TargetMode="External" /><Relationship Type="http://schemas.openxmlformats.org/officeDocument/2006/relationships/hyperlink" Id="rId168" Target="http://arxiv.org/abs/2404.14219" TargetMode="External" /><Relationship Type="http://schemas.openxmlformats.org/officeDocument/2006/relationships/hyperlink" Id="rId226" Target="http://arxiv.org/abs/2404.18021" TargetMode="External" /><Relationship Type="http://schemas.openxmlformats.org/officeDocument/2006/relationships/hyperlink" Id="rId314" Target="http://arxiv.org/abs/2404.18416" TargetMode="External" /><Relationship Type="http://schemas.openxmlformats.org/officeDocument/2006/relationships/hyperlink" Id="rId354" Target="http://arxiv.org/abs/2406.04520" TargetMode="External" /><Relationship Type="http://schemas.openxmlformats.org/officeDocument/2006/relationships/hyperlink" Id="rId324" Target="http://arxiv.org/abs/2407.09025" TargetMode="External" /><Relationship Type="http://schemas.openxmlformats.org/officeDocument/2006/relationships/hyperlink" Id="rId269" Target="http://arxiv.org/abs/2408.06292" TargetMode="External" /><Relationship Type="http://schemas.openxmlformats.org/officeDocument/2006/relationships/hyperlink" Id="rId273"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38" Target="https://doi.org/10.1001/jama.2023.8288" TargetMode="External" /><Relationship Type="http://schemas.openxmlformats.org/officeDocument/2006/relationships/hyperlink" Id="rId206" Target="https://doi.org/10.1001/jamanetworkopen.2024.40969" TargetMode="External" /><Relationship Type="http://schemas.openxmlformats.org/officeDocument/2006/relationships/hyperlink" Id="rId216" Target="https://doi.org/10.1007/s10676-024-09775-5" TargetMode="External" /><Relationship Type="http://schemas.openxmlformats.org/officeDocument/2006/relationships/hyperlink" Id="rId322" Target="https://doi.org/10.1016/j.ajp.2023.103705" TargetMode="External" /><Relationship Type="http://schemas.openxmlformats.org/officeDocument/2006/relationships/hyperlink" Id="rId240" Target="https://doi.org/10.1016/j.mcpdig.2023.08.005" TargetMode="External" /><Relationship Type="http://schemas.openxmlformats.org/officeDocument/2006/relationships/hyperlink" Id="rId250" Target="https://doi.org/10.1016/j.oret.2016.12.009" TargetMode="External" /><Relationship Type="http://schemas.openxmlformats.org/officeDocument/2006/relationships/hyperlink" Id="rId346" Target="https://doi.org/10.1016/j.patter.2023.100802" TargetMode="External" /><Relationship Type="http://schemas.openxmlformats.org/officeDocument/2006/relationships/hyperlink" Id="rId242" Target="https://doi.org/10.1038/s41571-020-0329-7" TargetMode="External" /><Relationship Type="http://schemas.openxmlformats.org/officeDocument/2006/relationships/hyperlink" Id="rId320" Target="https://doi.org/10.1038/s41586-023-06291-2" TargetMode="External" /><Relationship Type="http://schemas.openxmlformats.org/officeDocument/2006/relationships/hyperlink" Id="rId292" Target="https://doi.org/10.1038/s41586-023-06802-1" TargetMode="External" /><Relationship Type="http://schemas.openxmlformats.org/officeDocument/2006/relationships/hyperlink" Id="rId306" Target="https://doi.org/10.1038/s41586-023-06924-6" TargetMode="External" /><Relationship Type="http://schemas.openxmlformats.org/officeDocument/2006/relationships/hyperlink" Id="rId190" Target="https://doi.org/10.1038/s41591-018-0107-6" TargetMode="External" /><Relationship Type="http://schemas.openxmlformats.org/officeDocument/2006/relationships/hyperlink" Id="rId202" Target="https://doi.org/10.1038/s41591-018-0316-z" TargetMode="External" /><Relationship Type="http://schemas.openxmlformats.org/officeDocument/2006/relationships/hyperlink" Id="rId350" Target="https://doi.org/10.1038/s41592-024-02499-w" TargetMode="External" /><Relationship Type="http://schemas.openxmlformats.org/officeDocument/2006/relationships/hyperlink" Id="rId180" Target="https://doi.org/10.1038/s41598-024-61221-0" TargetMode="External" /><Relationship Type="http://schemas.openxmlformats.org/officeDocument/2006/relationships/hyperlink" Id="rId285" Target="https://doi.org/10.1038/s41746-023-00873-0" TargetMode="External" /><Relationship Type="http://schemas.openxmlformats.org/officeDocument/2006/relationships/hyperlink" Id="rId342" Target="https://doi.org/10.1038/s41746-023-00879-8" TargetMode="External" /><Relationship Type="http://schemas.openxmlformats.org/officeDocument/2006/relationships/hyperlink" Id="rId252" Target="https://doi.org/10.1056/NEJMsr2214184" TargetMode="External" /><Relationship Type="http://schemas.openxmlformats.org/officeDocument/2006/relationships/hyperlink" Id="rId228" Target="https://doi.org/10.1073/pnas.2304748120" TargetMode="External" /><Relationship Type="http://schemas.openxmlformats.org/officeDocument/2006/relationships/hyperlink" Id="rId196" Target="https://doi.org/10.1080/09515080701239510" TargetMode="External" /><Relationship Type="http://schemas.openxmlformats.org/officeDocument/2006/relationships/hyperlink" Id="rId271" Target="https://doi.org/10.1093/bib/bbac409" TargetMode="External" /><Relationship Type="http://schemas.openxmlformats.org/officeDocument/2006/relationships/hyperlink" Id="rId220" Target="https://doi.org/10.1093/jncics/pkad010" TargetMode="External" /><Relationship Type="http://schemas.openxmlformats.org/officeDocument/2006/relationships/hyperlink" Id="rId246" Target="https://doi.org/10.1101/2022.12.19.22283643" TargetMode="External" /><Relationship Type="http://schemas.openxmlformats.org/officeDocument/2006/relationships/hyperlink" Id="rId172" Target="https://doi.org/10.1101/2023.09.11.556673" TargetMode="External" /><Relationship Type="http://schemas.openxmlformats.org/officeDocument/2006/relationships/hyperlink" Id="rId208" Target="https://doi.org/10.1126/science.adi1778" TargetMode="External" /><Relationship Type="http://schemas.openxmlformats.org/officeDocument/2006/relationships/hyperlink" Id="rId174" Target="https://doi.org/10.1145/3442188.3445922" TargetMode="External" /><Relationship Type="http://schemas.openxmlformats.org/officeDocument/2006/relationships/hyperlink" Id="rId302" Target="https://doi.org/10.1145/3531146.3533158" TargetMode="External" /><Relationship Type="http://schemas.openxmlformats.org/officeDocument/2006/relationships/hyperlink" Id="rId344" Target="https://doi.org/10.1177/17456916231201401" TargetMode="External" /><Relationship Type="http://schemas.openxmlformats.org/officeDocument/2006/relationships/hyperlink" Id="rId224" Target="https://doi.org/10.2139/ssrn.2325101" TargetMode="External" /><Relationship Type="http://schemas.openxmlformats.org/officeDocument/2006/relationships/hyperlink" Id="rId304" Target="https://doi.org/10.2196/48659" TargetMode="External" /><Relationship Type="http://schemas.openxmlformats.org/officeDocument/2006/relationships/hyperlink" Id="rId222" Target="https://doi.org/10.2196/48966" TargetMode="External" /><Relationship Type="http://schemas.openxmlformats.org/officeDocument/2006/relationships/hyperlink" Id="rId283" Target="https://doi.org/10.2196/50638" TargetMode="External" /><Relationship Type="http://schemas.openxmlformats.org/officeDocument/2006/relationships/hyperlink" Id="rId348" Target="https://doi.org/10.2196/51308" TargetMode="External" /><Relationship Type="http://schemas.openxmlformats.org/officeDocument/2006/relationships/hyperlink" Id="rId310" Target="https://doi.org/10.3390/socsci12030148" TargetMode="External" /><Relationship Type="http://schemas.openxmlformats.org/officeDocument/2006/relationships/hyperlink" Id="rId194" Target="https://doi.org/10.48550/ARXIV.2104.08758" TargetMode="External" /><Relationship Type="http://schemas.openxmlformats.org/officeDocument/2006/relationships/hyperlink" Id="rId267" Target="https://doi.org/10.48550/ARXIV.2209.07663" TargetMode="External" /><Relationship Type="http://schemas.openxmlformats.org/officeDocument/2006/relationships/hyperlink" Id="rId290" Target="https://doi.org/10.48550/ARXIV.2303.13375" TargetMode="External" /><Relationship Type="http://schemas.openxmlformats.org/officeDocument/2006/relationships/hyperlink" Id="rId186" Target="https://doi.org/10.48550/ARXIV.2305.00118" TargetMode="External" /><Relationship Type="http://schemas.openxmlformats.org/officeDocument/2006/relationships/hyperlink" Id="rId204" Target="https://doi.org/10.48550/ARXIV.2305.08283" TargetMode="External" /><Relationship Type="http://schemas.openxmlformats.org/officeDocument/2006/relationships/hyperlink" Id="rId230" Target="https://doi.org/10.48550/ARXIV.2305.08596" TargetMode="External" /><Relationship Type="http://schemas.openxmlformats.org/officeDocument/2006/relationships/hyperlink" Id="rId275" Target="https://doi.org/10.48550/ARXIV.2306.14308" TargetMode="External" /><Relationship Type="http://schemas.openxmlformats.org/officeDocument/2006/relationships/hyperlink" Id="rId234" Target="https://doi.org/10.48550/ARXIV.2307.10169" TargetMode="External" /><Relationship Type="http://schemas.openxmlformats.org/officeDocument/2006/relationships/hyperlink" Id="rId263" Target="https://doi.org/10.48550/ARXIV.2308.03688" TargetMode="External" /><Relationship Type="http://schemas.openxmlformats.org/officeDocument/2006/relationships/hyperlink" Id="rId182" Target="https://doi.org/10.48550/ARXIV.2308.08708" TargetMode="External" /><Relationship Type="http://schemas.openxmlformats.org/officeDocument/2006/relationships/hyperlink" Id="rId326" Target="https://doi.org/10.48550/ARXIV.2401.05654" TargetMode="External" /><Relationship Type="http://schemas.openxmlformats.org/officeDocument/2006/relationships/hyperlink" Id="rId198"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footnotes.xml.rels><?xml version="1.0" encoding="UTF-8"?><Relationships xmlns="http://schemas.openxmlformats.org/package/2006/relationships"><Relationship Type="http://schemas.openxmlformats.org/officeDocument/2006/relationships/hyperlink" Id="rId334" Target="http://arxiv.org/abs/2201.11903" TargetMode="External" /><Relationship Type="http://schemas.openxmlformats.org/officeDocument/2006/relationships/hyperlink" Id="rId218" Target="http://arxiv.org/abs/2203.15556" TargetMode="External" /><Relationship Type="http://schemas.openxmlformats.org/officeDocument/2006/relationships/hyperlink" Id="rId255" Target="http://arxiv.org/abs/2210.12889" TargetMode="External" /><Relationship Type="http://schemas.openxmlformats.org/officeDocument/2006/relationships/hyperlink" Id="rId330" Target="http://arxiv.org/abs/2211.04325" TargetMode="External" /><Relationship Type="http://schemas.openxmlformats.org/officeDocument/2006/relationships/hyperlink" Id="rId277" Target="http://arxiv.org/abs/2301.06627" TargetMode="External" /><Relationship Type="http://schemas.openxmlformats.org/officeDocument/2006/relationships/hyperlink" Id="rId214" Target="http://arxiv.org/abs/2302.09210" TargetMode="External" /><Relationship Type="http://schemas.openxmlformats.org/officeDocument/2006/relationships/hyperlink" Id="rId261" Target="http://arxiv.org/abs/2304.09848" TargetMode="External" /><Relationship Type="http://schemas.openxmlformats.org/officeDocument/2006/relationships/hyperlink" Id="rId188" Target="http://arxiv.org/abs/2305.00118" TargetMode="External" /><Relationship Type="http://schemas.openxmlformats.org/officeDocument/2006/relationships/hyperlink" Id="rId318" Target="http://arxiv.org/abs/2305.17493" TargetMode="External" /><Relationship Type="http://schemas.openxmlformats.org/officeDocument/2006/relationships/hyperlink" Id="rId356" Target="http://arxiv.org/abs/2307.13854" TargetMode="External" /><Relationship Type="http://schemas.openxmlformats.org/officeDocument/2006/relationships/hyperlink" Id="rId257" Target="http://arxiv.org/abs/2308.04445" TargetMode="External" /><Relationship Type="http://schemas.openxmlformats.org/officeDocument/2006/relationships/hyperlink" Id="rId210" Target="http://arxiv.org/abs/2308.12539" TargetMode="External" /><Relationship Type="http://schemas.openxmlformats.org/officeDocument/2006/relationships/hyperlink" Id="rId279" Target="http://arxiv.org/abs/2309.02884" TargetMode="External" /><Relationship Type="http://schemas.openxmlformats.org/officeDocument/2006/relationships/hyperlink" Id="rId192" Target="http://arxiv.org/abs/2309.03613" TargetMode="External" /><Relationship Type="http://schemas.openxmlformats.org/officeDocument/2006/relationships/hyperlink" Id="rId298" Target="http://arxiv.org/abs/2309.08594" TargetMode="External" /><Relationship Type="http://schemas.openxmlformats.org/officeDocument/2006/relationships/hyperlink" Id="rId200" Target="http://arxiv.org/abs/2309.11690" TargetMode="External" /><Relationship Type="http://schemas.openxmlformats.org/officeDocument/2006/relationships/hyperlink" Id="rId332" Target="http://arxiv.org/abs/2309.11758" TargetMode="External" /><Relationship Type="http://schemas.openxmlformats.org/officeDocument/2006/relationships/hyperlink" Id="rId176" Target="http://arxiv.org/abs/2309.12288" TargetMode="External" /><Relationship Type="http://schemas.openxmlformats.org/officeDocument/2006/relationships/hyperlink" Id="rId294" Target="http://arxiv.org/abs/2310.17623" TargetMode="External" /><Relationship Type="http://schemas.openxmlformats.org/officeDocument/2006/relationships/hyperlink" Id="rId281" Target="http://arxiv.org/abs/2312.00164" TargetMode="External" /><Relationship Type="http://schemas.openxmlformats.org/officeDocument/2006/relationships/hyperlink" Id="rId352" Target="http://arxiv.org/abs/2312.07353" TargetMode="External" /><Relationship Type="http://schemas.openxmlformats.org/officeDocument/2006/relationships/hyperlink" Id="rId178" Target="http://arxiv.org/abs/2312.16171" TargetMode="External" /><Relationship Type="http://schemas.openxmlformats.org/officeDocument/2006/relationships/hyperlink" Id="rId287" Target="http://arxiv.org/abs/2401.03910" TargetMode="External" /><Relationship Type="http://schemas.openxmlformats.org/officeDocument/2006/relationships/hyperlink" Id="rId236" Target="http://arxiv.org/abs/2401.06416" TargetMode="External" /><Relationship Type="http://schemas.openxmlformats.org/officeDocument/2006/relationships/hyperlink" Id="rId244" Target="http://arxiv.org/abs/2401.06866" TargetMode="External" /><Relationship Type="http://schemas.openxmlformats.org/officeDocument/2006/relationships/hyperlink" Id="rId312" Target="http://arxiv.org/abs/2402.01789" TargetMode="External" /><Relationship Type="http://schemas.openxmlformats.org/officeDocument/2006/relationships/hyperlink" Id="rId232" Target="http://arxiv.org/abs/2402.04845" TargetMode="External" /><Relationship Type="http://schemas.openxmlformats.org/officeDocument/2006/relationships/hyperlink" Id="rId316" Target="http://arxiv.org/abs/2402.08797" TargetMode="External" /><Relationship Type="http://schemas.openxmlformats.org/officeDocument/2006/relationships/hyperlink" Id="rId340" Target="http://arxiv.org/abs/2402.10588" TargetMode="External" /><Relationship Type="http://schemas.openxmlformats.org/officeDocument/2006/relationships/hyperlink" Id="rId300" Target="http://arxiv.org/abs/2402.13963" TargetMode="External" /><Relationship Type="http://schemas.openxmlformats.org/officeDocument/2006/relationships/hyperlink" Id="rId265" Target="http://arxiv.org/abs/2402.14905" TargetMode="External" /><Relationship Type="http://schemas.openxmlformats.org/officeDocument/2006/relationships/hyperlink" Id="rId308" Target="http://arxiv.org/abs/2402.16786" TargetMode="External" /><Relationship Type="http://schemas.openxmlformats.org/officeDocument/2006/relationships/hyperlink" Id="rId170" Target="http://arxiv.org/abs/2403.04652" TargetMode="External" /><Relationship Type="http://schemas.openxmlformats.org/officeDocument/2006/relationships/hyperlink" Id="rId184" Target="http://arxiv.org/abs/2403.06634" TargetMode="External" /><Relationship Type="http://schemas.openxmlformats.org/officeDocument/2006/relationships/hyperlink" Id="rId338" Target="http://arxiv.org/abs/2403.09751" TargetMode="External" /><Relationship Type="http://schemas.openxmlformats.org/officeDocument/2006/relationships/hyperlink" Id="rId296" Target="http://arxiv.org/abs/2403.17881" TargetMode="External" /><Relationship Type="http://schemas.openxmlformats.org/officeDocument/2006/relationships/hyperlink" Id="rId336" Target="http://arxiv.org/abs/2403.18802" TargetMode="External" /><Relationship Type="http://schemas.openxmlformats.org/officeDocument/2006/relationships/hyperlink" Id="rId259" Target="http://arxiv.org/abs/2403.20041" TargetMode="External" /><Relationship Type="http://schemas.openxmlformats.org/officeDocument/2006/relationships/hyperlink" Id="rId212" Target="http://arxiv.org/abs/2404.03264" TargetMode="External" /><Relationship Type="http://schemas.openxmlformats.org/officeDocument/2006/relationships/hyperlink" Id="rId328" Target="http://arxiv.org/abs/2404.04125" TargetMode="External" /><Relationship Type="http://schemas.openxmlformats.org/officeDocument/2006/relationships/hyperlink" Id="rId168" Target="http://arxiv.org/abs/2404.14219" TargetMode="External" /><Relationship Type="http://schemas.openxmlformats.org/officeDocument/2006/relationships/hyperlink" Id="rId226" Target="http://arxiv.org/abs/2404.18021" TargetMode="External" /><Relationship Type="http://schemas.openxmlformats.org/officeDocument/2006/relationships/hyperlink" Id="rId314" Target="http://arxiv.org/abs/2404.18416" TargetMode="External" /><Relationship Type="http://schemas.openxmlformats.org/officeDocument/2006/relationships/hyperlink" Id="rId354" Target="http://arxiv.org/abs/2406.04520" TargetMode="External" /><Relationship Type="http://schemas.openxmlformats.org/officeDocument/2006/relationships/hyperlink" Id="rId324" Target="http://arxiv.org/abs/2407.09025" TargetMode="External" /><Relationship Type="http://schemas.openxmlformats.org/officeDocument/2006/relationships/hyperlink" Id="rId269" Target="http://arxiv.org/abs/2408.06292" TargetMode="External" /><Relationship Type="http://schemas.openxmlformats.org/officeDocument/2006/relationships/hyperlink" Id="rId273" Target="http://arxiv.org/abs/2408.11876" TargetMode="External" /><Relationship Type="http://schemas.openxmlformats.org/officeDocument/2006/relationships/hyperlink" Id="rId32" Target="https://arxiv.org/pdf/2305.00118.pdf" TargetMode="External" /><Relationship Type="http://schemas.openxmlformats.org/officeDocument/2006/relationships/hyperlink" Id="rId30" Target="https://commoncrawl.org/" TargetMode="External" /><Relationship Type="http://schemas.openxmlformats.org/officeDocument/2006/relationships/hyperlink" Id="rId27" Target="https://cset.georgetown.edu/article/how-developers-steer-language-model-outputs-large-language-models-explained-part-2/" TargetMode="External" /><Relationship Type="http://schemas.openxmlformats.org/officeDocument/2006/relationships/hyperlink" Id="rId238" Target="https://doi.org/10.1001/jama.2023.8288" TargetMode="External" /><Relationship Type="http://schemas.openxmlformats.org/officeDocument/2006/relationships/hyperlink" Id="rId206" Target="https://doi.org/10.1001/jamanetworkopen.2024.40969" TargetMode="External" /><Relationship Type="http://schemas.openxmlformats.org/officeDocument/2006/relationships/hyperlink" Id="rId216" Target="https://doi.org/10.1007/s10676-024-09775-5" TargetMode="External" /><Relationship Type="http://schemas.openxmlformats.org/officeDocument/2006/relationships/hyperlink" Id="rId322" Target="https://doi.org/10.1016/j.ajp.2023.103705" TargetMode="External" /><Relationship Type="http://schemas.openxmlformats.org/officeDocument/2006/relationships/hyperlink" Id="rId240" Target="https://doi.org/10.1016/j.mcpdig.2023.08.005" TargetMode="External" /><Relationship Type="http://schemas.openxmlformats.org/officeDocument/2006/relationships/hyperlink" Id="rId250" Target="https://doi.org/10.1016/j.oret.2016.12.009" TargetMode="External" /><Relationship Type="http://schemas.openxmlformats.org/officeDocument/2006/relationships/hyperlink" Id="rId346" Target="https://doi.org/10.1016/j.patter.2023.100802" TargetMode="External" /><Relationship Type="http://schemas.openxmlformats.org/officeDocument/2006/relationships/hyperlink" Id="rId242" Target="https://doi.org/10.1038/s41571-020-0329-7" TargetMode="External" /><Relationship Type="http://schemas.openxmlformats.org/officeDocument/2006/relationships/hyperlink" Id="rId320" Target="https://doi.org/10.1038/s41586-023-06291-2" TargetMode="External" /><Relationship Type="http://schemas.openxmlformats.org/officeDocument/2006/relationships/hyperlink" Id="rId292" Target="https://doi.org/10.1038/s41586-023-06802-1" TargetMode="External" /><Relationship Type="http://schemas.openxmlformats.org/officeDocument/2006/relationships/hyperlink" Id="rId306" Target="https://doi.org/10.1038/s41586-023-06924-6" TargetMode="External" /><Relationship Type="http://schemas.openxmlformats.org/officeDocument/2006/relationships/hyperlink" Id="rId190" Target="https://doi.org/10.1038/s41591-018-0107-6" TargetMode="External" /><Relationship Type="http://schemas.openxmlformats.org/officeDocument/2006/relationships/hyperlink" Id="rId202" Target="https://doi.org/10.1038/s41591-018-0316-z" TargetMode="External" /><Relationship Type="http://schemas.openxmlformats.org/officeDocument/2006/relationships/hyperlink" Id="rId350" Target="https://doi.org/10.1038/s41592-024-02499-w" TargetMode="External" /><Relationship Type="http://schemas.openxmlformats.org/officeDocument/2006/relationships/hyperlink" Id="rId180" Target="https://doi.org/10.1038/s41598-024-61221-0" TargetMode="External" /><Relationship Type="http://schemas.openxmlformats.org/officeDocument/2006/relationships/hyperlink" Id="rId285" Target="https://doi.org/10.1038/s41746-023-00873-0" TargetMode="External" /><Relationship Type="http://schemas.openxmlformats.org/officeDocument/2006/relationships/hyperlink" Id="rId342" Target="https://doi.org/10.1038/s41746-023-00879-8" TargetMode="External" /><Relationship Type="http://schemas.openxmlformats.org/officeDocument/2006/relationships/hyperlink" Id="rId252" Target="https://doi.org/10.1056/NEJMsr2214184" TargetMode="External" /><Relationship Type="http://schemas.openxmlformats.org/officeDocument/2006/relationships/hyperlink" Id="rId228" Target="https://doi.org/10.1073/pnas.2304748120" TargetMode="External" /><Relationship Type="http://schemas.openxmlformats.org/officeDocument/2006/relationships/hyperlink" Id="rId196" Target="https://doi.org/10.1080/09515080701239510" TargetMode="External" /><Relationship Type="http://schemas.openxmlformats.org/officeDocument/2006/relationships/hyperlink" Id="rId271" Target="https://doi.org/10.1093/bib/bbac409" TargetMode="External" /><Relationship Type="http://schemas.openxmlformats.org/officeDocument/2006/relationships/hyperlink" Id="rId220" Target="https://doi.org/10.1093/jncics/pkad010" TargetMode="External" /><Relationship Type="http://schemas.openxmlformats.org/officeDocument/2006/relationships/hyperlink" Id="rId246" Target="https://doi.org/10.1101/2022.12.19.22283643" TargetMode="External" /><Relationship Type="http://schemas.openxmlformats.org/officeDocument/2006/relationships/hyperlink" Id="rId172" Target="https://doi.org/10.1101/2023.09.11.556673" TargetMode="External" /><Relationship Type="http://schemas.openxmlformats.org/officeDocument/2006/relationships/hyperlink" Id="rId208" Target="https://doi.org/10.1126/science.adi1778" TargetMode="External" /><Relationship Type="http://schemas.openxmlformats.org/officeDocument/2006/relationships/hyperlink" Id="rId174" Target="https://doi.org/10.1145/3442188.3445922" TargetMode="External" /><Relationship Type="http://schemas.openxmlformats.org/officeDocument/2006/relationships/hyperlink" Id="rId302" Target="https://doi.org/10.1145/3531146.3533158" TargetMode="External" /><Relationship Type="http://schemas.openxmlformats.org/officeDocument/2006/relationships/hyperlink" Id="rId344" Target="https://doi.org/10.1177/17456916231201401" TargetMode="External" /><Relationship Type="http://schemas.openxmlformats.org/officeDocument/2006/relationships/hyperlink" Id="rId224" Target="https://doi.org/10.2139/ssrn.2325101" TargetMode="External" /><Relationship Type="http://schemas.openxmlformats.org/officeDocument/2006/relationships/hyperlink" Id="rId304" Target="https://doi.org/10.2196/48659" TargetMode="External" /><Relationship Type="http://schemas.openxmlformats.org/officeDocument/2006/relationships/hyperlink" Id="rId222" Target="https://doi.org/10.2196/48966" TargetMode="External" /><Relationship Type="http://schemas.openxmlformats.org/officeDocument/2006/relationships/hyperlink" Id="rId283" Target="https://doi.org/10.2196/50638" TargetMode="External" /><Relationship Type="http://schemas.openxmlformats.org/officeDocument/2006/relationships/hyperlink" Id="rId348" Target="https://doi.org/10.2196/51308" TargetMode="External" /><Relationship Type="http://schemas.openxmlformats.org/officeDocument/2006/relationships/hyperlink" Id="rId310" Target="https://doi.org/10.3390/socsci12030148" TargetMode="External" /><Relationship Type="http://schemas.openxmlformats.org/officeDocument/2006/relationships/hyperlink" Id="rId194" Target="https://doi.org/10.48550/ARXIV.2104.08758" TargetMode="External" /><Relationship Type="http://schemas.openxmlformats.org/officeDocument/2006/relationships/hyperlink" Id="rId267" Target="https://doi.org/10.48550/ARXIV.2209.07663" TargetMode="External" /><Relationship Type="http://schemas.openxmlformats.org/officeDocument/2006/relationships/hyperlink" Id="rId290" Target="https://doi.org/10.48550/ARXIV.2303.13375" TargetMode="External" /><Relationship Type="http://schemas.openxmlformats.org/officeDocument/2006/relationships/hyperlink" Id="rId186" Target="https://doi.org/10.48550/ARXIV.2305.00118" TargetMode="External" /><Relationship Type="http://schemas.openxmlformats.org/officeDocument/2006/relationships/hyperlink" Id="rId204" Target="https://doi.org/10.48550/ARXIV.2305.08283" TargetMode="External" /><Relationship Type="http://schemas.openxmlformats.org/officeDocument/2006/relationships/hyperlink" Id="rId230" Target="https://doi.org/10.48550/ARXIV.2305.08596" TargetMode="External" /><Relationship Type="http://schemas.openxmlformats.org/officeDocument/2006/relationships/hyperlink" Id="rId275" Target="https://doi.org/10.48550/ARXIV.2306.14308" TargetMode="External" /><Relationship Type="http://schemas.openxmlformats.org/officeDocument/2006/relationships/hyperlink" Id="rId234" Target="https://doi.org/10.48550/ARXIV.2307.10169" TargetMode="External" /><Relationship Type="http://schemas.openxmlformats.org/officeDocument/2006/relationships/hyperlink" Id="rId263" Target="https://doi.org/10.48550/ARXIV.2308.03688" TargetMode="External" /><Relationship Type="http://schemas.openxmlformats.org/officeDocument/2006/relationships/hyperlink" Id="rId182" Target="https://doi.org/10.48550/ARXIV.2308.08708" TargetMode="External" /><Relationship Type="http://schemas.openxmlformats.org/officeDocument/2006/relationships/hyperlink" Id="rId326" Target="https://doi.org/10.48550/ARXIV.2401.05654" TargetMode="External" /><Relationship Type="http://schemas.openxmlformats.org/officeDocument/2006/relationships/hyperlink" Id="rId198" Target="https://epochai.org/data/large-scale-ai-models" TargetMode="External" /><Relationship Type="http://schemas.openxmlformats.org/officeDocument/2006/relationships/hyperlink" Id="rId35" Target="https://news.ycombinator.com/item?id=35627102" TargetMode="External" /><Relationship Type="http://schemas.openxmlformats.org/officeDocument/2006/relationships/hyperlink" Id="rId33" Target="https://ustr.gov/sites/default/files/IssueAreas/IP/2021%20Notorious%20Markets%20List.pdf?itid=lk_inline_enhanced-template" TargetMode="External" /><Relationship Type="http://schemas.openxmlformats.org/officeDocument/2006/relationships/hyperlink" Id="rId45" Target="https://www.nytimes.com/2024/04/06/technology/ai-data-tech-takeaways.html?unlocked_article_code=1.iU0.gYFb.5TxfSKhA4ZYj" TargetMode="External" /><Relationship Type="http://schemas.openxmlformats.org/officeDocument/2006/relationships/hyperlink" Id="rId34" Target="https://www.washingtonpost.com/technology/interactive/2023/ai-chatbot-learning/?utm_source=GeekWire+Newsletters&amp;utm_campaign=e5b7d8b9b6-daily-digest-email&amp;utm_medium=email&amp;utm_term=0_4e93fc7dfd-e5b7d8b9b6-233355689&amp;mc_cid=e5b7d8b9b6"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2025-03-03T15:22:10Z</dcterms:created>
  <dcterms:modified xsi:type="dcterms:W3CDTF">2025-03-03T15:22:10Z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2025-03-03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