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2.svg" ContentType="image/svg+xml"/>
  <Override PartName="/word/media/rId121.svg" ContentType="image/svg+xml"/>
  <Override PartName="/word/media/rId110.svg" ContentType="image/svg+xml"/>
  <Override PartName="/word/media/rId116.svg" ContentType="image/svg+xml"/>
  <Override PartName="/word/media/rId113.png" ContentType="image/png"/>
  <Override PartName="/word/media/rId119.png" ContentType="image/png"/>
  <Override PartName="/word/media/rId124.png" ContentType="image/png"/>
  <Override PartName="/word/media/rId5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24947</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Consider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7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3"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1"/>
    <w:bookmarkStart w:id="42"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2"/>
    <w:bookmarkEnd w:id="43"/>
    <w:bookmarkStart w:id="47" w:name="more-examples"/>
    <w:p>
      <w:pPr>
        <w:pStyle w:val="Heading2"/>
      </w:pPr>
      <w:r>
        <w:t xml:space="preserve">3.5 More examples</w:t>
      </w:r>
    </w:p>
    <w:bookmarkStart w:id="44"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4"/>
    <w:bookmarkStart w:id="45"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5"/>
    <w:bookmarkStart w:id="46"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6"/>
    <w:bookmarkEnd w:id="47"/>
    <w:bookmarkStart w:id="48"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p>
    <w:p>
      <w:pPr>
        <w:pStyle w:val="Compact"/>
        <w:numPr>
          <w:ilvl w:val="0"/>
          <w:numId w:val="1007"/>
        </w:numPr>
      </w:pPr>
      <w:r>
        <w:t xml:space="preserve">Companies that help humans make better</w:t>
      </w:r>
      <w:r>
        <w:t xml:space="preserve"> </w:t>
      </w:r>
      <w:r>
        <w:t xml:space="preserve">“what”</w:t>
      </w:r>
      <w:r>
        <w:t xml:space="preserve"> </w:t>
      </w:r>
      <w:r>
        <w:t xml:space="preserve">decisions</w:t>
      </w:r>
    </w:p>
    <w:p>
      <w:pPr>
        <w:pStyle w:val="Compact"/>
        <w:numPr>
          <w:ilvl w:val="0"/>
          <w:numId w:val="1007"/>
        </w:numPr>
      </w:pPr>
      <w:r>
        <w:t xml:space="preserve">Tools that augment human judgment rather than replace it</w:t>
      </w:r>
    </w:p>
    <w:p>
      <w:pPr>
        <w:pStyle w:val="Compact"/>
        <w:numPr>
          <w:ilvl w:val="0"/>
          <w:numId w:val="1007"/>
        </w:numPr>
      </w:pPr>
      <w:r>
        <w:t xml:space="preserve">Platforms that combine AI capabilities with human insight</w:t>
      </w:r>
    </w:p>
    <w:p>
      <w:pPr>
        <w:pStyle w:val="Compact"/>
        <w:numPr>
          <w:ilvl w:val="0"/>
          <w:numId w:val="1007"/>
        </w:numPr>
      </w:pPr>
      <w:r>
        <w:t xml:space="preserve">Businesses with strong human judgment at their core</w:t>
      </w:r>
    </w:p>
    <w:p>
      <w:pPr>
        <w:pStyle w:val="FirstParagraph"/>
      </w:pPr>
      <w:r>
        <w:rPr>
          <w:b/>
          <w:bCs/>
        </w:rPr>
        <w:t xml:space="preserve">Losers</w:t>
      </w:r>
      <w:r>
        <w:t xml:space="preserve">:</w:t>
      </w:r>
    </w:p>
    <w:p>
      <w:pPr>
        <w:pStyle w:val="Compact"/>
        <w:numPr>
          <w:ilvl w:val="0"/>
          <w:numId w:val="1008"/>
        </w:numPr>
      </w:pPr>
      <w:r>
        <w:t xml:space="preserve">Pure automation plays that don’t preserve human judgment</w:t>
      </w:r>
    </w:p>
    <w:p>
      <w:pPr>
        <w:pStyle w:val="Compact"/>
        <w:numPr>
          <w:ilvl w:val="0"/>
          <w:numId w:val="1008"/>
        </w:numPr>
      </w:pPr>
      <w:r>
        <w:t xml:space="preserve">Companies selling commoditized</w:t>
      </w:r>
      <w:r>
        <w:t xml:space="preserve"> </w:t>
      </w:r>
      <w:r>
        <w:t xml:space="preserve">“how”</w:t>
      </w:r>
      <w:r>
        <w:t xml:space="preserve"> </w:t>
      </w:r>
      <w:r>
        <w:t xml:space="preserve">skills</w:t>
      </w:r>
    </w:p>
    <w:p>
      <w:pPr>
        <w:pStyle w:val="Compact"/>
        <w:numPr>
          <w:ilvl w:val="0"/>
          <w:numId w:val="1008"/>
        </w:numPr>
      </w:pPr>
      <w:r>
        <w:t xml:space="preserve">Businesses that can’t articulate their human advantage</w:t>
      </w:r>
    </w:p>
    <w:bookmarkEnd w:id="48"/>
    <w:bookmarkStart w:id="49"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9"/>
        </w:numPr>
      </w:pPr>
      <w:r>
        <w:t xml:space="preserve">Flatter hierarchies as AI handles routine coordination</w:t>
      </w:r>
    </w:p>
    <w:p>
      <w:pPr>
        <w:pStyle w:val="Compact"/>
        <w:numPr>
          <w:ilvl w:val="0"/>
          <w:numId w:val="1009"/>
        </w:numPr>
      </w:pPr>
      <w:r>
        <w:t xml:space="preserve">Smaller, more senior teams focused on</w:t>
      </w:r>
      <w:r>
        <w:t xml:space="preserve"> </w:t>
      </w:r>
      <w:r>
        <w:t xml:space="preserve">“what”</w:t>
      </w:r>
      <w:r>
        <w:t xml:space="preserve"> </w:t>
      </w:r>
      <w:r>
        <w:t xml:space="preserve">decisions</w:t>
      </w:r>
    </w:p>
    <w:p>
      <w:pPr>
        <w:pStyle w:val="Compact"/>
        <w:numPr>
          <w:ilvl w:val="0"/>
          <w:numId w:val="1009"/>
        </w:numPr>
      </w:pPr>
      <w:r>
        <w:t xml:space="preserve">Greater emphasis on judgment and strategic thinking</w:t>
      </w:r>
    </w:p>
    <w:p>
      <w:pPr>
        <w:pStyle w:val="FirstParagraph"/>
      </w:pPr>
      <w:r>
        <w:rPr>
          <w:b/>
          <w:bCs/>
        </w:rPr>
        <w:t xml:space="preserve">Changed Skill Requirements</w:t>
      </w:r>
    </w:p>
    <w:p>
      <w:pPr>
        <w:pStyle w:val="Compact"/>
        <w:numPr>
          <w:ilvl w:val="0"/>
          <w:numId w:val="1010"/>
        </w:numPr>
      </w:pPr>
      <w:r>
        <w:t xml:space="preserve">Less focus on technical tool proficiency</w:t>
      </w:r>
    </w:p>
    <w:p>
      <w:pPr>
        <w:pStyle w:val="Compact"/>
        <w:numPr>
          <w:ilvl w:val="0"/>
          <w:numId w:val="1010"/>
        </w:numPr>
      </w:pPr>
      <w:r>
        <w:t xml:space="preserve">More emphasis on strategic thinking and judgment</w:t>
      </w:r>
    </w:p>
    <w:p>
      <w:pPr>
        <w:pStyle w:val="Compact"/>
        <w:numPr>
          <w:ilvl w:val="0"/>
          <w:numId w:val="1010"/>
        </w:numPr>
      </w:pPr>
      <w:r>
        <w:t xml:space="preserve">Greater value placed on cross-domain knowledge</w:t>
      </w:r>
    </w:p>
    <w:p>
      <w:pPr>
        <w:pStyle w:val="FirstParagraph"/>
      </w:pPr>
      <w:r>
        <w:rPr>
          <w:b/>
          <w:bCs/>
        </w:rPr>
        <w:t xml:space="preserve">Modified Training Approaches</w:t>
      </w:r>
    </w:p>
    <w:p>
      <w:pPr>
        <w:pStyle w:val="Compact"/>
        <w:numPr>
          <w:ilvl w:val="0"/>
          <w:numId w:val="1011"/>
        </w:numPr>
      </w:pPr>
      <w:r>
        <w:t xml:space="preserve">Reduced time spent teaching technical</w:t>
      </w:r>
      <w:r>
        <w:t xml:space="preserve"> </w:t>
      </w:r>
      <w:r>
        <w:t xml:space="preserve">“how”</w:t>
      </w:r>
      <w:r>
        <w:t xml:space="preserve"> </w:t>
      </w:r>
      <w:r>
        <w:t xml:space="preserve">skills</w:t>
      </w:r>
    </w:p>
    <w:p>
      <w:pPr>
        <w:pStyle w:val="Compact"/>
        <w:numPr>
          <w:ilvl w:val="0"/>
          <w:numId w:val="1011"/>
        </w:numPr>
      </w:pPr>
      <w:r>
        <w:t xml:space="preserve">Increased focus on judgment development</w:t>
      </w:r>
    </w:p>
    <w:p>
      <w:pPr>
        <w:pStyle w:val="Compact"/>
        <w:numPr>
          <w:ilvl w:val="0"/>
          <w:numId w:val="1011"/>
        </w:numPr>
      </w:pPr>
      <w:r>
        <w:t xml:space="preserve">More emphasis on understanding human factors</w:t>
      </w:r>
    </w:p>
    <w:bookmarkEnd w:id="49"/>
    <w:bookmarkStart w:id="51"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2"/>
        </w:numPr>
      </w:pPr>
      <w:r>
        <w:t xml:space="preserve">Focus on developing judgment through varied experiences</w:t>
      </w:r>
    </w:p>
    <w:p>
      <w:pPr>
        <w:pStyle w:val="Compact"/>
        <w:numPr>
          <w:ilvl w:val="0"/>
          <w:numId w:val="1012"/>
        </w:numPr>
      </w:pPr>
      <w:r>
        <w:t xml:space="preserve">Build broad knowledge across multiple domains</w:t>
      </w:r>
    </w:p>
    <w:p>
      <w:pPr>
        <w:pStyle w:val="Compact"/>
        <w:numPr>
          <w:ilvl w:val="0"/>
          <w:numId w:val="1012"/>
        </w:numPr>
      </w:pPr>
      <w:r>
        <w:t xml:space="preserve">Practice making and learning from strategic decisions</w:t>
      </w:r>
    </w:p>
    <w:p>
      <w:pPr>
        <w:pStyle w:val="Compact"/>
        <w:numPr>
          <w:ilvl w:val="0"/>
          <w:numId w:val="1012"/>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3"/>
        </w:numPr>
      </w:pPr>
      <w:r>
        <w:t xml:space="preserve">Invest in tools that augment human judgment</w:t>
      </w:r>
    </w:p>
    <w:p>
      <w:pPr>
        <w:pStyle w:val="Compact"/>
        <w:numPr>
          <w:ilvl w:val="0"/>
          <w:numId w:val="1013"/>
        </w:numPr>
      </w:pPr>
      <w:r>
        <w:t xml:space="preserve">Develop processes that capture and share strategic insights - Create cultures that value and develop good judgment</w:t>
      </w:r>
    </w:p>
    <w:p>
      <w:pPr>
        <w:pStyle w:val="Compact"/>
        <w:numPr>
          <w:ilvl w:val="0"/>
          <w:numId w:val="1013"/>
        </w:numPr>
      </w:pPr>
      <w:r>
        <w:t xml:space="preserve">Build teams with diverse perspectives and experiences</w:t>
      </w:r>
    </w:p>
    <w:bookmarkStart w:id="50"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50"/>
    <w:bookmarkEnd w:id="51"/>
    <w:bookmarkStart w:id="57"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6" w:name="fig-what-how-matrix"/>
          <w:p>
            <w:pPr>
              <w:pStyle w:val="Compact"/>
              <w:jc w:val="center"/>
            </w:pPr>
            <w:r>
              <w:drawing>
                <wp:inline>
                  <wp:extent cx="5646420" cy="4940617"/>
                  <wp:effectExtent b="0" l="0" r="0" t="0"/>
                  <wp:docPr descr="" title="" id="53" name="Picture"/>
                  <a:graphic>
                    <a:graphicData uri="http://schemas.openxmlformats.org/drawingml/2006/picture">
                      <pic:pic>
                        <pic:nvPicPr>
                          <pic:cNvPr descr="_resources/images/Ch03-images/what-how-matrix.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56"/>
        </w:tc>
      </w:tr>
    </w:tbl>
    <w:bookmarkEnd w:id="57"/>
    <w:bookmarkStart w:id="58"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8"/>
    <w:bookmarkStart w:id="59"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9"/>
    <w:bookmarkStart w:id="63"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0"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0"/>
    <w:bookmarkStart w:id="61"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1"/>
    <w:bookmarkStart w:id="62"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2"/>
    <w:bookmarkEnd w:id="63"/>
    <w:bookmarkStart w:id="64"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4"/>
    <w:bookmarkStart w:id="65"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5"/>
    <w:bookmarkStart w:id="66"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14"/>
        </w:numPr>
      </w:pPr>
      <w:r>
        <w:t xml:space="preserve">Develop tools that enhance human strategic thinking rather than merely automating implementation tasks 2. Create platforms that facilitate seamless collaboration between human judgment and AI execution 3. Build solutions that maintain appropriate human oversight while leveraging AI capabilities 4. 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6"/>
    <w:bookmarkStart w:id="67" w:name="the-evolution-of-knowledge-work"/>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7"/>
    <w:bookmarkStart w:id="68" w:name="integration-with-enhancement-thesis"/>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8"/>
    <w:bookmarkStart w:id="69" w:name="conclusion-navigating-the-transformation"/>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9"/>
    <w:bookmarkEnd w:id="70"/>
    <w:bookmarkStart w:id="7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has profound implications for how we understand both human and artificial intelligence.</w:t>
      </w:r>
    </w:p>
    <w:p>
      <w:pPr>
        <w:pStyle w:val="BodyText"/>
      </w:pPr>
      <w:r>
        <w:rPr>
          <w:b/>
          <w:bCs/>
        </w:rPr>
        <w:t xml:space="preserve">Being-in-the-World: Heidegger’s Fundamental Insight</w:t>
      </w:r>
    </w:p>
    <w:p>
      <w:pPr>
        <w:pStyle w:val="BodyText"/>
      </w:pPr>
      <w:r>
        <w:t xml:space="preserve">Heidegger’s masterwork,</w:t>
      </w:r>
      <w:r>
        <w:t xml:space="preserve"> </w:t>
      </w:r>
      <w:r>
        <w:rPr>
          <w:i/>
          <w:iCs/>
        </w:rPr>
        <w:t xml:space="preserve">Being and Time</w:t>
      </w:r>
      <w:r>
        <w:t xml:space="preserve"> </w:t>
      </w:r>
      <w:r>
        <w:t xml:space="preserve">(1927), represents a radical departure from the Cartesian tradition. Where Descartes begins with the isolated, thinking subject, Heidegger starts with what he calls</w:t>
      </w:r>
      <w:r>
        <w:t xml:space="preserve"> </w:t>
      </w:r>
      <w:r>
        <w:rPr>
          <w:i/>
          <w:iCs/>
        </w:rPr>
        <w:t xml:space="preserve">Dasein</w:t>
      </w:r>
      <w:r>
        <w:t xml:space="preserve"> </w:t>
      </w:r>
      <w:r>
        <w:t xml:space="preserve">(literally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71"/>
    <w:bookmarkStart w:id="8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72"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72"/>
    <w:bookmarkStart w:id="7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73"/>
    <w:bookmarkStart w:id="7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4"/>
    <w:bookmarkStart w:id="7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5"/>
    <w:bookmarkStart w:id="7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6"/>
    <w:bookmarkStart w:id="7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7"/>
    <w:bookmarkStart w:id="7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5"/>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5"/>
        </w:numPr>
      </w:pPr>
      <w:r>
        <w:t xml:space="preserve">Enhancement approaches align with organizational preferences for incremental transformation rather than disruptive replacement, facilitating adoption and integration.</w:t>
      </w:r>
    </w:p>
    <w:p>
      <w:pPr>
        <w:numPr>
          <w:ilvl w:val="0"/>
          <w:numId w:val="1015"/>
        </w:numPr>
      </w:pPr>
      <w:r>
        <w:t xml:space="preserve">Enhancement frameworks leverage existing human expertise while improving efficiency, creating immediate value rather than requiring complete transformation of workflows.</w:t>
      </w:r>
    </w:p>
    <w:p>
      <w:pPr>
        <w:numPr>
          <w:ilvl w:val="0"/>
          <w:numId w:val="1015"/>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8"/>
    <w:bookmarkStart w:id="7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79"/>
    <w:bookmarkEnd w:id="80"/>
    <w:bookmarkStart w:id="8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8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81"/>
    <w:bookmarkStart w:id="83"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pStyle w:val="Compact"/>
        <w:numPr>
          <w:ilvl w:val="0"/>
          <w:numId w:val="1016"/>
        </w:numPr>
      </w:pPr>
      <w:r>
        <w:t xml:space="preserve">What decisions require contextual understanding that AI cannot replicate?</w:t>
      </w:r>
    </w:p>
    <w:p>
      <w:pPr>
        <w:pStyle w:val="Compact"/>
        <w:numPr>
          <w:ilvl w:val="0"/>
          <w:numId w:val="1016"/>
        </w:numPr>
      </w:pPr>
      <w:r>
        <w:t xml:space="preserve">Where can AI’s pattern recognition complement human insight?</w:t>
      </w:r>
    </w:p>
    <w:p>
      <w:pPr>
        <w:pStyle w:val="Compact"/>
        <w:numPr>
          <w:ilvl w:val="0"/>
          <w:numId w:val="1016"/>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82" w:name="fig-enhancement-framework"/>
          <w:p>
            <w:pPr>
              <w:jc w:val="center"/>
            </w:pPr>
            <w:pPr>
              <w:jc w:val="start"/>
              <w:spacing w:before="200"/>
              <w:pStyle w:val="ImageCaption"/>
            </w:pPr>
            <w:r>
              <w:t xml:space="preserve">Figure 6.1</w:t>
            </w:r>
          </w:p>
          <w:bookmarkEnd w:id="82"/>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83"/>
    <w:bookmarkStart w:id="84"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4"/>
    <w:bookmarkStart w:id="85"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5"/>
    <w:bookmarkStart w:id="86"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pStyle w:val="Compact"/>
        <w:numPr>
          <w:ilvl w:val="0"/>
          <w:numId w:val="1017"/>
        </w:numPr>
      </w:pPr>
      <w:r>
        <w:t xml:space="preserve">Current performance metrics and pain points</w:t>
      </w:r>
    </w:p>
    <w:p>
      <w:pPr>
        <w:pStyle w:val="Compact"/>
        <w:numPr>
          <w:ilvl w:val="0"/>
          <w:numId w:val="1017"/>
        </w:numPr>
      </w:pPr>
      <w:r>
        <w:t xml:space="preserve">The nature of human contribution (judgment, creativity, empathy, etc.)</w:t>
      </w:r>
    </w:p>
    <w:p>
      <w:pPr>
        <w:pStyle w:val="Compact"/>
        <w:numPr>
          <w:ilvl w:val="0"/>
          <w:numId w:val="1017"/>
        </w:numPr>
      </w:pPr>
      <w:r>
        <w:t xml:space="preserve">Data availability and quality</w:t>
      </w:r>
    </w:p>
    <w:p>
      <w:pPr>
        <w:pStyle w:val="Compact"/>
        <w:numPr>
          <w:ilvl w:val="0"/>
          <w:numId w:val="1017"/>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8"/>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8"/>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8"/>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pStyle w:val="Compact"/>
        <w:numPr>
          <w:ilvl w:val="0"/>
          <w:numId w:val="1019"/>
        </w:numPr>
      </w:pPr>
      <w:r>
        <w:t xml:space="preserve">Define clear success metrics that capture both efficiency and effectiveness</w:t>
      </w:r>
    </w:p>
    <w:p>
      <w:pPr>
        <w:pStyle w:val="Compact"/>
        <w:numPr>
          <w:ilvl w:val="0"/>
          <w:numId w:val="1019"/>
        </w:numPr>
      </w:pPr>
      <w:r>
        <w:t xml:space="preserve">Design for appropriate division of labor between human and AI</w:t>
      </w:r>
    </w:p>
    <w:p>
      <w:pPr>
        <w:pStyle w:val="Compact"/>
        <w:numPr>
          <w:ilvl w:val="0"/>
          <w:numId w:val="1019"/>
        </w:numPr>
      </w:pPr>
      <w:r>
        <w:t xml:space="preserve">Establish feedback mechanisms to capture user experience and suggestions</w:t>
      </w:r>
    </w:p>
    <w:p>
      <w:pPr>
        <w:pStyle w:val="Compact"/>
        <w:numPr>
          <w:ilvl w:val="0"/>
          <w:numId w:val="1019"/>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pStyle w:val="Compact"/>
        <w:numPr>
          <w:ilvl w:val="0"/>
          <w:numId w:val="1020"/>
        </w:numPr>
      </w:pPr>
      <w:r>
        <w:t xml:space="preserve">Technical teams need skills in human-centered design, not just AI development</w:t>
      </w:r>
    </w:p>
    <w:p>
      <w:pPr>
        <w:pStyle w:val="Compact"/>
        <w:numPr>
          <w:ilvl w:val="0"/>
          <w:numId w:val="1020"/>
        </w:numPr>
      </w:pPr>
      <w:r>
        <w:t xml:space="preserve">Domain experts need understanding of AI capabilities and limitations</w:t>
      </w:r>
    </w:p>
    <w:p>
      <w:pPr>
        <w:pStyle w:val="Compact"/>
        <w:numPr>
          <w:ilvl w:val="0"/>
          <w:numId w:val="1020"/>
        </w:numPr>
      </w:pPr>
      <w:r>
        <w:t xml:space="preserve">Leadership needs frameworks for evaluating enhancement opportunities</w:t>
      </w:r>
    </w:p>
    <w:p>
      <w:pPr>
        <w:pStyle w:val="Compact"/>
        <w:numPr>
          <w:ilvl w:val="0"/>
          <w:numId w:val="1020"/>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pStyle w:val="Compact"/>
        <w:numPr>
          <w:ilvl w:val="0"/>
          <w:numId w:val="1021"/>
        </w:numPr>
      </w:pPr>
      <w:r>
        <w:t xml:space="preserve">Establish governance mechanisms to ensure consistent implementation while allowing for domain-specific adaptation</w:t>
      </w:r>
    </w:p>
    <w:p>
      <w:pPr>
        <w:pStyle w:val="Compact"/>
        <w:numPr>
          <w:ilvl w:val="0"/>
          <w:numId w:val="1021"/>
        </w:numPr>
      </w:pPr>
      <w:r>
        <w:t xml:space="preserve">Build feedback loops to capture learning and identify improvement opportunities</w:t>
      </w:r>
    </w:p>
    <w:p>
      <w:pPr>
        <w:pStyle w:val="Compact"/>
        <w:numPr>
          <w:ilvl w:val="0"/>
          <w:numId w:val="1021"/>
        </w:numPr>
      </w:pPr>
      <w:r>
        <w:t xml:space="preserve">Monitor for unintended consequences and adaptation needs</w:t>
      </w:r>
    </w:p>
    <w:p>
      <w:pPr>
        <w:pStyle w:val="Compact"/>
        <w:numPr>
          <w:ilvl w:val="0"/>
          <w:numId w:val="1021"/>
        </w:numPr>
      </w:pPr>
      <w:r>
        <w:t xml:space="preserve">Continuously reassess the optimal division of labor as capabilities evolve</w:t>
      </w:r>
    </w:p>
    <w:bookmarkEnd w:id="86"/>
    <w:bookmarkStart w:id="87"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7"/>
    <w:bookmarkEnd w:id="88"/>
    <w:bookmarkStart w:id="99"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90"/>
    <w:bookmarkStart w:id="91"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91"/>
    <w:bookmarkStart w:id="92"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4"/>
    <w:bookmarkStart w:id="95"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5"/>
    <w:bookmarkStart w:id="96"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7"/>
    <w:bookmarkStart w:id="98"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8"/>
    <w:bookmarkEnd w:id="99"/>
    <w:bookmarkStart w:id="10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2"/>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2"/>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2"/>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11" name="Picture"/>
            <a:graphic>
              <a:graphicData uri="http://schemas.openxmlformats.org/drawingml/2006/picture">
                <pic:pic>
                  <pic:nvPicPr>
                    <pic:cNvPr descr="_resources/images/Ch09-images/soxx-vs-sp500.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4"/>
    <w:bookmarkStart w:id="11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5"/>
    <w:bookmarkStart w:id="12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7" name="Picture"/>
            <a:graphic>
              <a:graphicData uri="http://schemas.openxmlformats.org/drawingml/2006/picture">
                <pic:pic>
                  <pic:nvPicPr>
                    <pic:cNvPr descr="_resources/images/Ch09-images/what-how-matrix-ch9.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20"/>
    <w:bookmarkStart w:id="12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22" name="Picture"/>
            <a:graphic>
              <a:graphicData uri="http://schemas.openxmlformats.org/drawingml/2006/picture">
                <pic:pic>
                  <pic:nvPicPr>
                    <pic:cNvPr descr="_resources/images/Ch09-images/performance-chart.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5"/>
    <w:bookmarkStart w:id="12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6"/>
    <w:bookmarkStart w:id="12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7"/>
    <w:bookmarkEnd w:id="128"/>
    <w:bookmarkStart w:id="13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9"/>
    <w:bookmarkStart w:id="13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30"/>
    <w:bookmarkStart w:id="13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31"/>
    <w:bookmarkStart w:id="13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32"/>
    <w:bookmarkStart w:id="13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33"/>
    <w:bookmarkStart w:id="13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4"/>
    <w:bookmarkStart w:id="13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5"/>
    <w:bookmarkStart w:id="13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6"/>
    <w:bookmarkEnd w:id="137"/>
    <w:bookmarkStart w:id="148" w:name="summary"/>
    <w:p>
      <w:pPr>
        <w:pStyle w:val="Heading1"/>
      </w:pPr>
      <w:r>
        <w:t xml:space="preserve">Summary</w:t>
      </w:r>
    </w:p>
    <w:bookmarkStart w:id="13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23"/>
        </w:numPr>
      </w:pPr>
      <w:r>
        <w:t xml:space="preserve">Maintain human agency and judgment at the center of decision-making</w:t>
      </w:r>
    </w:p>
    <w:p>
      <w:pPr>
        <w:pStyle w:val="Compact"/>
        <w:numPr>
          <w:ilvl w:val="0"/>
          <w:numId w:val="1023"/>
        </w:numPr>
      </w:pPr>
      <w:r>
        <w:t xml:space="preserve">Design AI systems that complement rather than replace human capabilities</w:t>
      </w:r>
    </w:p>
    <w:p>
      <w:pPr>
        <w:pStyle w:val="Compact"/>
        <w:numPr>
          <w:ilvl w:val="0"/>
          <w:numId w:val="1023"/>
        </w:numPr>
      </w:pPr>
      <w:r>
        <w:t xml:space="preserve">Focus on transparency and explainability in AI systems</w:t>
      </w:r>
    </w:p>
    <w:p>
      <w:pPr>
        <w:pStyle w:val="Compact"/>
        <w:numPr>
          <w:ilvl w:val="0"/>
          <w:numId w:val="1023"/>
        </w:numPr>
      </w:pPr>
      <w:r>
        <w:t xml:space="preserve">Prioritize human-AI collaboration over full automation</w:t>
      </w:r>
    </w:p>
    <w:p>
      <w:pPr>
        <w:pStyle w:val="Compact"/>
        <w:numPr>
          <w:ilvl w:val="0"/>
          <w:numId w:val="1023"/>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8"/>
    <w:bookmarkStart w:id="147" w:name="author-dialog"/>
    <w:p>
      <w:pPr>
        <w:pStyle w:val="Heading2"/>
      </w:pPr>
      <w:r>
        <w:t xml:space="preserve">Author Dialog</w:t>
      </w:r>
    </w:p>
    <w:bookmarkStart w:id="139"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9"/>
    <w:bookmarkStart w:id="140"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0"/>
    <w:bookmarkStart w:id="141"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41"/>
    <w:bookmarkStart w:id="142"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42"/>
    <w:bookmarkStart w:id="143"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24"/>
        </w:numPr>
      </w:pPr>
      <w:r>
        <w:t xml:space="preserve">Maintain human agency and judgment at the center of decision-making</w:t>
      </w:r>
    </w:p>
    <w:p>
      <w:pPr>
        <w:pStyle w:val="Compact"/>
        <w:numPr>
          <w:ilvl w:val="0"/>
          <w:numId w:val="1024"/>
        </w:numPr>
      </w:pPr>
      <w:r>
        <w:t xml:space="preserve">Design AI systems that complement rather than replace human capabilities</w:t>
      </w:r>
    </w:p>
    <w:p>
      <w:pPr>
        <w:pStyle w:val="Compact"/>
        <w:numPr>
          <w:ilvl w:val="0"/>
          <w:numId w:val="1024"/>
        </w:numPr>
      </w:pPr>
      <w:r>
        <w:t xml:space="preserve">Focus on transparency and explainability in AI systems</w:t>
      </w:r>
    </w:p>
    <w:p>
      <w:pPr>
        <w:pStyle w:val="Compact"/>
        <w:numPr>
          <w:ilvl w:val="0"/>
          <w:numId w:val="1024"/>
        </w:numPr>
      </w:pPr>
      <w:r>
        <w:t xml:space="preserve">Prioritize human-AI collaboration over full automation</w:t>
      </w:r>
    </w:p>
    <w:p>
      <w:pPr>
        <w:pStyle w:val="Compact"/>
        <w:numPr>
          <w:ilvl w:val="0"/>
          <w:numId w:val="1024"/>
        </w:numPr>
      </w:pPr>
      <w:r>
        <w:t xml:space="preserve">Invest in human skill development alongside AI capabilities</w:t>
      </w:r>
    </w:p>
    <w:bookmarkEnd w:id="143"/>
    <w:bookmarkStart w:id="144"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5"/>
        </w:numPr>
      </w:pPr>
      <w:r>
        <w:t xml:space="preserve">Regulations requiring human oversight of critical AI systems</w:t>
      </w:r>
    </w:p>
    <w:p>
      <w:pPr>
        <w:pStyle w:val="Compact"/>
        <w:numPr>
          <w:ilvl w:val="0"/>
          <w:numId w:val="1025"/>
        </w:numPr>
      </w:pPr>
      <w:r>
        <w:t xml:space="preserve">Standards for AI transparency and explainability</w:t>
      </w:r>
    </w:p>
    <w:p>
      <w:pPr>
        <w:pStyle w:val="Compact"/>
        <w:numPr>
          <w:ilvl w:val="0"/>
          <w:numId w:val="1025"/>
        </w:numPr>
      </w:pPr>
      <w:r>
        <w:t xml:space="preserve">Investment in education and training programs that prepare workers for human-AI collaboration</w:t>
      </w:r>
    </w:p>
    <w:p>
      <w:pPr>
        <w:pStyle w:val="Compact"/>
        <w:numPr>
          <w:ilvl w:val="0"/>
          <w:numId w:val="1025"/>
        </w:numPr>
      </w:pPr>
      <w:r>
        <w:t xml:space="preserve">Incentives for companies developing enhancement-focused AI applications</w:t>
      </w:r>
    </w:p>
    <w:bookmarkEnd w:id="144"/>
    <w:bookmarkStart w:id="145"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5"/>
    <w:bookmarkStart w:id="146"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6"/>
    <w:bookmarkEnd w:id="147"/>
    <w:bookmarkEnd w:id="148"/>
    <w:bookmarkStart w:id="149"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9"/>
    <w:bookmarkStart w:id="341" w:name="references"/>
    <w:p>
      <w:pPr>
        <w:pStyle w:val="Heading1"/>
      </w:pPr>
      <w:r>
        <w:t xml:space="preserve">References</w:t>
      </w:r>
    </w:p>
    <w:bookmarkStart w:id="340" w:name="refs"/>
    <w:bookmarkStart w:id="151"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0">
        <w:r>
          <w:rPr>
            <w:rStyle w:val="Hyperlink"/>
          </w:rPr>
          <w:t xml:space="preserve">http://arxiv.org/abs/2404.14219</w:t>
        </w:r>
      </w:hyperlink>
      <w:r>
        <w:t xml:space="preserve">.</w:t>
      </w:r>
    </w:p>
    <w:bookmarkEnd w:id="151"/>
    <w:bookmarkStart w:id="153"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2">
        <w:r>
          <w:rPr>
            <w:rStyle w:val="Hyperlink"/>
          </w:rPr>
          <w:t xml:space="preserve">http://arxiv.org/abs/2403.04652</w:t>
        </w:r>
      </w:hyperlink>
      <w:r>
        <w:t xml:space="preserve">.</w:t>
      </w:r>
    </w:p>
    <w:bookmarkEnd w:id="153"/>
    <w:bookmarkStart w:id="155"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4">
        <w:r>
          <w:rPr>
            <w:rStyle w:val="Hyperlink"/>
          </w:rPr>
          <w:t xml:space="preserve">https://doi.org/10.1101/2023.09.11.556673</w:t>
        </w:r>
      </w:hyperlink>
      <w:r>
        <w:t xml:space="preserve">.</w:t>
      </w:r>
    </w:p>
    <w:bookmarkEnd w:id="155"/>
    <w:bookmarkStart w:id="157"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6">
        <w:r>
          <w:rPr>
            <w:rStyle w:val="Hyperlink"/>
          </w:rPr>
          <w:t xml:space="preserve">https://doi.org/10.1145/3442188.3445922</w:t>
        </w:r>
      </w:hyperlink>
      <w:r>
        <w:t xml:space="preserve">.</w:t>
      </w:r>
    </w:p>
    <w:bookmarkEnd w:id="157"/>
    <w:bookmarkStart w:id="159"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8">
        <w:r>
          <w:rPr>
            <w:rStyle w:val="Hyperlink"/>
          </w:rPr>
          <w:t xml:space="preserve">http://arxiv.org/abs/2309.12288</w:t>
        </w:r>
      </w:hyperlink>
      <w:r>
        <w:t xml:space="preserve">.</w:t>
      </w:r>
    </w:p>
    <w:bookmarkEnd w:id="159"/>
    <w:bookmarkStart w:id="161"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0">
        <w:r>
          <w:rPr>
            <w:rStyle w:val="Hyperlink"/>
          </w:rPr>
          <w:t xml:space="preserve">http://arxiv.org/abs/2312.16171</w:t>
        </w:r>
      </w:hyperlink>
      <w:r>
        <w:t xml:space="preserve">.</w:t>
      </w:r>
    </w:p>
    <w:bookmarkEnd w:id="161"/>
    <w:bookmarkStart w:id="163"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2">
        <w:r>
          <w:rPr>
            <w:rStyle w:val="Hyperlink"/>
          </w:rPr>
          <w:t xml:space="preserve">https://doi.org/10.1038/s41598-024-61221-0</w:t>
        </w:r>
      </w:hyperlink>
      <w:r>
        <w:t xml:space="preserve">.</w:t>
      </w:r>
    </w:p>
    <w:bookmarkEnd w:id="163"/>
    <w:bookmarkStart w:id="165"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4">
        <w:r>
          <w:rPr>
            <w:rStyle w:val="Hyperlink"/>
          </w:rPr>
          <w:t xml:space="preserve">https://doi.org/10.48550/ARXIV.2308.08708</w:t>
        </w:r>
      </w:hyperlink>
      <w:r>
        <w:t xml:space="preserve">.</w:t>
      </w:r>
    </w:p>
    <w:bookmarkEnd w:id="165"/>
    <w:bookmarkStart w:id="167"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6">
        <w:r>
          <w:rPr>
            <w:rStyle w:val="Hyperlink"/>
          </w:rPr>
          <w:t xml:space="preserve">http://arxiv.org/abs/2403.06634</w:t>
        </w:r>
      </w:hyperlink>
      <w:r>
        <w:t xml:space="preserve">.</w:t>
      </w:r>
    </w:p>
    <w:bookmarkEnd w:id="167"/>
    <w:bookmarkStart w:id="169"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8">
        <w:r>
          <w:rPr>
            <w:rStyle w:val="Hyperlink"/>
          </w:rPr>
          <w:t xml:space="preserve">https://doi.org/10.48550/ARXIV.2305.00118</w:t>
        </w:r>
      </w:hyperlink>
      <w:r>
        <w:t xml:space="preserve">.</w:t>
      </w:r>
    </w:p>
    <w:bookmarkEnd w:id="169"/>
    <w:bookmarkStart w:id="171"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0">
        <w:r>
          <w:rPr>
            <w:rStyle w:val="Hyperlink"/>
          </w:rPr>
          <w:t xml:space="preserve">http://arxiv.org/abs/2305.00118</w:t>
        </w:r>
      </w:hyperlink>
      <w:r>
        <w:t xml:space="preserve">.</w:t>
      </w:r>
    </w:p>
    <w:bookmarkEnd w:id="171"/>
    <w:bookmarkStart w:id="173"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2">
        <w:r>
          <w:rPr>
            <w:rStyle w:val="Hyperlink"/>
          </w:rPr>
          <w:t xml:space="preserve">https://doi.org/10.1038/s41591-018-0107-6</w:t>
        </w:r>
      </w:hyperlink>
      <w:r>
        <w:t xml:space="preserve">.</w:t>
      </w:r>
    </w:p>
    <w:bookmarkEnd w:id="173"/>
    <w:bookmarkStart w:id="175"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4">
        <w:r>
          <w:rPr>
            <w:rStyle w:val="Hyperlink"/>
          </w:rPr>
          <w:t xml:space="preserve">http://arxiv.org/abs/2309.03613</w:t>
        </w:r>
      </w:hyperlink>
      <w:r>
        <w:t xml:space="preserve">.</w:t>
      </w:r>
    </w:p>
    <w:bookmarkEnd w:id="175"/>
    <w:bookmarkStart w:id="177"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6">
        <w:r>
          <w:rPr>
            <w:rStyle w:val="Hyperlink"/>
          </w:rPr>
          <w:t xml:space="preserve">https://doi.org/10.48550/ARXIV.2104.08758</w:t>
        </w:r>
      </w:hyperlink>
      <w:r>
        <w:t xml:space="preserve">.</w:t>
      </w:r>
    </w:p>
    <w:bookmarkEnd w:id="177"/>
    <w:bookmarkStart w:id="179"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8">
        <w:r>
          <w:rPr>
            <w:rStyle w:val="Hyperlink"/>
          </w:rPr>
          <w:t xml:space="preserve">https://doi.org/10.1080/09515080701239510</w:t>
        </w:r>
      </w:hyperlink>
      <w:r>
        <w:t xml:space="preserve">.</w:t>
      </w:r>
    </w:p>
    <w:bookmarkEnd w:id="179"/>
    <w:bookmarkStart w:id="181"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0">
        <w:r>
          <w:rPr>
            <w:rStyle w:val="Hyperlink"/>
          </w:rPr>
          <w:t xml:space="preserve">https://epochai.org/data/large-scale-ai-models</w:t>
        </w:r>
      </w:hyperlink>
      <w:r>
        <w:t xml:space="preserve">.</w:t>
      </w:r>
    </w:p>
    <w:bookmarkEnd w:id="181"/>
    <w:bookmarkStart w:id="183"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2">
        <w:r>
          <w:rPr>
            <w:rStyle w:val="Hyperlink"/>
          </w:rPr>
          <w:t xml:space="preserve">http://arxiv.org/abs/2309.11690</w:t>
        </w:r>
      </w:hyperlink>
      <w:r>
        <w:t xml:space="preserve">.</w:t>
      </w:r>
    </w:p>
    <w:bookmarkEnd w:id="183"/>
    <w:bookmarkStart w:id="185"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4">
        <w:r>
          <w:rPr>
            <w:rStyle w:val="Hyperlink"/>
          </w:rPr>
          <w:t xml:space="preserve">https://doi.org/10.1038/s41591-018-0316-z</w:t>
        </w:r>
      </w:hyperlink>
      <w:r>
        <w:t xml:space="preserve">.</w:t>
      </w:r>
    </w:p>
    <w:bookmarkEnd w:id="185"/>
    <w:bookmarkStart w:id="187"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6">
        <w:r>
          <w:rPr>
            <w:rStyle w:val="Hyperlink"/>
          </w:rPr>
          <w:t xml:space="preserve">https://doi.org/10.48550/ARXIV.2305.08283</w:t>
        </w:r>
      </w:hyperlink>
      <w:r>
        <w:t xml:space="preserve">.</w:t>
      </w:r>
    </w:p>
    <w:bookmarkEnd w:id="187"/>
    <w:bookmarkStart w:id="189"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8">
        <w:r>
          <w:rPr>
            <w:rStyle w:val="Hyperlink"/>
          </w:rPr>
          <w:t xml:space="preserve">https://doi.org/10.1001/jamanetworkopen.2024.40969</w:t>
        </w:r>
      </w:hyperlink>
      <w:r>
        <w:t xml:space="preserve">.</w:t>
      </w:r>
    </w:p>
    <w:bookmarkEnd w:id="189"/>
    <w:bookmarkStart w:id="191"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0">
        <w:r>
          <w:rPr>
            <w:rStyle w:val="Hyperlink"/>
          </w:rPr>
          <w:t xml:space="preserve">https://doi.org/10.1126/science.adi1778</w:t>
        </w:r>
      </w:hyperlink>
      <w:r>
        <w:t xml:space="preserve">.</w:t>
      </w:r>
    </w:p>
    <w:bookmarkEnd w:id="191"/>
    <w:bookmarkStart w:id="193"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2">
        <w:r>
          <w:rPr>
            <w:rStyle w:val="Hyperlink"/>
          </w:rPr>
          <w:t xml:space="preserve">http://arxiv.org/abs/2308.12539</w:t>
        </w:r>
      </w:hyperlink>
      <w:r>
        <w:t xml:space="preserve">.</w:t>
      </w:r>
    </w:p>
    <w:bookmarkEnd w:id="193"/>
    <w:bookmarkStart w:id="195"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4">
        <w:r>
          <w:rPr>
            <w:rStyle w:val="Hyperlink"/>
          </w:rPr>
          <w:t xml:space="preserve">http://arxiv.org/abs/2404.03264</w:t>
        </w:r>
      </w:hyperlink>
      <w:r>
        <w:t xml:space="preserve">.</w:t>
      </w:r>
    </w:p>
    <w:bookmarkEnd w:id="195"/>
    <w:bookmarkStart w:id="197"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6">
        <w:r>
          <w:rPr>
            <w:rStyle w:val="Hyperlink"/>
          </w:rPr>
          <w:t xml:space="preserve">http://arxiv.org/abs/2302.09210</w:t>
        </w:r>
      </w:hyperlink>
      <w:r>
        <w:t xml:space="preserve">.</w:t>
      </w:r>
    </w:p>
    <w:bookmarkEnd w:id="197"/>
    <w:bookmarkStart w:id="199"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8">
        <w:r>
          <w:rPr>
            <w:rStyle w:val="Hyperlink"/>
          </w:rPr>
          <w:t xml:space="preserve">https://doi.org/10.1007/s10676-024-09775-5</w:t>
        </w:r>
      </w:hyperlink>
      <w:r>
        <w:t xml:space="preserve">.</w:t>
      </w:r>
    </w:p>
    <w:bookmarkEnd w:id="199"/>
    <w:bookmarkStart w:id="201"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0">
        <w:r>
          <w:rPr>
            <w:rStyle w:val="Hyperlink"/>
          </w:rPr>
          <w:t xml:space="preserve">http://arxiv.org/abs/2203.15556</w:t>
        </w:r>
      </w:hyperlink>
      <w:r>
        <w:t xml:space="preserve">.</w:t>
      </w:r>
    </w:p>
    <w:bookmarkEnd w:id="201"/>
    <w:bookmarkStart w:id="203"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2">
        <w:r>
          <w:rPr>
            <w:rStyle w:val="Hyperlink"/>
          </w:rPr>
          <w:t xml:space="preserve">https://doi.org/10.1093/jncics/pkad010</w:t>
        </w:r>
      </w:hyperlink>
      <w:r>
        <w:t xml:space="preserve">.</w:t>
      </w:r>
    </w:p>
    <w:bookmarkEnd w:id="203"/>
    <w:bookmarkStart w:id="205"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4">
        <w:r>
          <w:rPr>
            <w:rStyle w:val="Hyperlink"/>
          </w:rPr>
          <w:t xml:space="preserve">https://doi.org/10.2196/48966</w:t>
        </w:r>
      </w:hyperlink>
      <w:r>
        <w:t xml:space="preserve">.</w:t>
      </w:r>
    </w:p>
    <w:bookmarkEnd w:id="205"/>
    <w:bookmarkStart w:id="207"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6">
        <w:r>
          <w:rPr>
            <w:rStyle w:val="Hyperlink"/>
          </w:rPr>
          <w:t xml:space="preserve">https://doi.org/10.2139/ssrn.2325101</w:t>
        </w:r>
      </w:hyperlink>
      <w:r>
        <w:t xml:space="preserve">.</w:t>
      </w:r>
    </w:p>
    <w:bookmarkEnd w:id="207"/>
    <w:bookmarkStart w:id="209"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8">
        <w:r>
          <w:rPr>
            <w:rStyle w:val="Hyperlink"/>
          </w:rPr>
          <w:t xml:space="preserve">http://arxiv.org/abs/2404.18021</w:t>
        </w:r>
      </w:hyperlink>
      <w:r>
        <w:t xml:space="preserve">.</w:t>
      </w:r>
    </w:p>
    <w:bookmarkEnd w:id="209"/>
    <w:bookmarkStart w:id="211"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0">
        <w:r>
          <w:rPr>
            <w:rStyle w:val="Hyperlink"/>
          </w:rPr>
          <w:t xml:space="preserve">https://doi.org/10.1073/pnas.2304748120</w:t>
        </w:r>
      </w:hyperlink>
      <w:r>
        <w:t xml:space="preserve">.</w:t>
      </w:r>
    </w:p>
    <w:bookmarkEnd w:id="211"/>
    <w:bookmarkStart w:id="213"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2">
        <w:r>
          <w:rPr>
            <w:rStyle w:val="Hyperlink"/>
          </w:rPr>
          <w:t xml:space="preserve">https://doi.org/10.48550/ARXIV.2305.08596</w:t>
        </w:r>
      </w:hyperlink>
      <w:r>
        <w:t xml:space="preserve">.</w:t>
      </w:r>
    </w:p>
    <w:bookmarkEnd w:id="213"/>
    <w:bookmarkStart w:id="215"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4">
        <w:r>
          <w:rPr>
            <w:rStyle w:val="Hyperlink"/>
          </w:rPr>
          <w:t xml:space="preserve">http://arxiv.org/abs/2402.04845</w:t>
        </w:r>
      </w:hyperlink>
      <w:r>
        <w:t xml:space="preserve">.</w:t>
      </w:r>
    </w:p>
    <w:bookmarkEnd w:id="215"/>
    <w:bookmarkStart w:id="217"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6">
        <w:r>
          <w:rPr>
            <w:rStyle w:val="Hyperlink"/>
          </w:rPr>
          <w:t xml:space="preserve">https://doi.org/10.48550/ARXIV.2307.10169</w:t>
        </w:r>
      </w:hyperlink>
      <w:r>
        <w:t xml:space="preserve">.</w:t>
      </w:r>
    </w:p>
    <w:bookmarkEnd w:id="217"/>
    <w:bookmarkStart w:id="219"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8">
        <w:r>
          <w:rPr>
            <w:rStyle w:val="Hyperlink"/>
          </w:rPr>
          <w:t xml:space="preserve">http://arxiv.org/abs/2401.06416</w:t>
        </w:r>
      </w:hyperlink>
      <w:r>
        <w:t xml:space="preserve">.</w:t>
      </w:r>
    </w:p>
    <w:bookmarkEnd w:id="219"/>
    <w:bookmarkStart w:id="221"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0">
        <w:r>
          <w:rPr>
            <w:rStyle w:val="Hyperlink"/>
          </w:rPr>
          <w:t xml:space="preserve">https://doi.org/10.1001/jama.2023.8288</w:t>
        </w:r>
      </w:hyperlink>
      <w:r>
        <w:t xml:space="preserve">.</w:t>
      </w:r>
    </w:p>
    <w:bookmarkEnd w:id="221"/>
    <w:bookmarkStart w:id="223"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2">
        <w:r>
          <w:rPr>
            <w:rStyle w:val="Hyperlink"/>
          </w:rPr>
          <w:t xml:space="preserve">https://doi.org/10.1016/j.mcpdig.2023.08.005</w:t>
        </w:r>
      </w:hyperlink>
      <w:r>
        <w:t xml:space="preserve">.</w:t>
      </w:r>
    </w:p>
    <w:bookmarkEnd w:id="223"/>
    <w:bookmarkStart w:id="225"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4">
        <w:r>
          <w:rPr>
            <w:rStyle w:val="Hyperlink"/>
          </w:rPr>
          <w:t xml:space="preserve">https://doi.org/10.1038/s41571-020-0329-7</w:t>
        </w:r>
      </w:hyperlink>
      <w:r>
        <w:t xml:space="preserve">.</w:t>
      </w:r>
    </w:p>
    <w:bookmarkEnd w:id="225"/>
    <w:bookmarkStart w:id="227"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6">
        <w:r>
          <w:rPr>
            <w:rStyle w:val="Hyperlink"/>
          </w:rPr>
          <w:t xml:space="preserve">http://arxiv.org/abs/2401.06866</w:t>
        </w:r>
      </w:hyperlink>
      <w:r>
        <w:t xml:space="preserve">.</w:t>
      </w:r>
    </w:p>
    <w:bookmarkEnd w:id="227"/>
    <w:bookmarkStart w:id="229"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8">
        <w:r>
          <w:rPr>
            <w:rStyle w:val="Hyperlink"/>
          </w:rPr>
          <w:t xml:space="preserve">https://doi.org/10.1101/2022.12.19.22283643</w:t>
        </w:r>
      </w:hyperlink>
      <w:r>
        <w:t xml:space="preserve">.</w:t>
      </w:r>
    </w:p>
    <w:bookmarkEnd w:id="229"/>
    <w:bookmarkStart w:id="230"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0"/>
    <w:bookmarkStart w:id="231"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1"/>
    <w:bookmarkStart w:id="233"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2">
        <w:r>
          <w:rPr>
            <w:rStyle w:val="Hyperlink"/>
          </w:rPr>
          <w:t xml:space="preserve">https://doi.org/10.1016/j.oret.2016.12.009</w:t>
        </w:r>
      </w:hyperlink>
      <w:r>
        <w:t xml:space="preserve">.</w:t>
      </w:r>
    </w:p>
    <w:bookmarkEnd w:id="233"/>
    <w:bookmarkStart w:id="235"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4">
        <w:r>
          <w:rPr>
            <w:rStyle w:val="Hyperlink"/>
          </w:rPr>
          <w:t xml:space="preserve">https://doi.org/10.1056/NEJMsr2214184</w:t>
        </w:r>
      </w:hyperlink>
      <w:r>
        <w:t xml:space="preserve">.</w:t>
      </w:r>
    </w:p>
    <w:bookmarkEnd w:id="235"/>
    <w:bookmarkStart w:id="236"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6"/>
    <w:bookmarkStart w:id="238"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7">
        <w:r>
          <w:rPr>
            <w:rStyle w:val="Hyperlink"/>
          </w:rPr>
          <w:t xml:space="preserve">http://arxiv.org/abs/2210.12889</w:t>
        </w:r>
      </w:hyperlink>
      <w:r>
        <w:t xml:space="preserve">.</w:t>
      </w:r>
    </w:p>
    <w:bookmarkEnd w:id="238"/>
    <w:bookmarkStart w:id="240"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9">
        <w:r>
          <w:rPr>
            <w:rStyle w:val="Hyperlink"/>
          </w:rPr>
          <w:t xml:space="preserve">http://arxiv.org/abs/2308.04445</w:t>
        </w:r>
      </w:hyperlink>
      <w:r>
        <w:t xml:space="preserve">.</w:t>
      </w:r>
    </w:p>
    <w:bookmarkEnd w:id="240"/>
    <w:bookmarkStart w:id="242"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1">
        <w:r>
          <w:rPr>
            <w:rStyle w:val="Hyperlink"/>
          </w:rPr>
          <w:t xml:space="preserve">http://arxiv.org/abs/2403.20041</w:t>
        </w:r>
      </w:hyperlink>
      <w:r>
        <w:t xml:space="preserve">.</w:t>
      </w:r>
    </w:p>
    <w:bookmarkEnd w:id="242"/>
    <w:bookmarkStart w:id="244"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3">
        <w:r>
          <w:rPr>
            <w:rStyle w:val="Hyperlink"/>
          </w:rPr>
          <w:t xml:space="preserve">http://arxiv.org/abs/2304.09848</w:t>
        </w:r>
      </w:hyperlink>
      <w:r>
        <w:t xml:space="preserve">.</w:t>
      </w:r>
    </w:p>
    <w:bookmarkEnd w:id="244"/>
    <w:bookmarkStart w:id="246"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5">
        <w:r>
          <w:rPr>
            <w:rStyle w:val="Hyperlink"/>
          </w:rPr>
          <w:t xml:space="preserve">https://doi.org/10.48550/ARXIV.2308.03688</w:t>
        </w:r>
      </w:hyperlink>
      <w:r>
        <w:t xml:space="preserve">.</w:t>
      </w:r>
    </w:p>
    <w:bookmarkEnd w:id="246"/>
    <w:bookmarkStart w:id="248"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7">
        <w:r>
          <w:rPr>
            <w:rStyle w:val="Hyperlink"/>
          </w:rPr>
          <w:t xml:space="preserve">http://arxiv.org/abs/2402.14905</w:t>
        </w:r>
      </w:hyperlink>
      <w:r>
        <w:t xml:space="preserve">.</w:t>
      </w:r>
    </w:p>
    <w:bookmarkEnd w:id="248"/>
    <w:bookmarkStart w:id="250"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9">
        <w:r>
          <w:rPr>
            <w:rStyle w:val="Hyperlink"/>
          </w:rPr>
          <w:t xml:space="preserve">https://doi.org/10.48550/ARXIV.2209.07663</w:t>
        </w:r>
      </w:hyperlink>
      <w:r>
        <w:t xml:space="preserve">.</w:t>
      </w:r>
    </w:p>
    <w:bookmarkEnd w:id="250"/>
    <w:bookmarkStart w:id="252"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1">
        <w:r>
          <w:rPr>
            <w:rStyle w:val="Hyperlink"/>
          </w:rPr>
          <w:t xml:space="preserve">http://arxiv.org/abs/2408.06292</w:t>
        </w:r>
      </w:hyperlink>
      <w:r>
        <w:t xml:space="preserve">.</w:t>
      </w:r>
    </w:p>
    <w:bookmarkEnd w:id="252"/>
    <w:bookmarkStart w:id="254"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3">
        <w:r>
          <w:rPr>
            <w:rStyle w:val="Hyperlink"/>
          </w:rPr>
          <w:t xml:space="preserve">https://doi.org/10.1093/bib/bbac409</w:t>
        </w:r>
      </w:hyperlink>
      <w:r>
        <w:t xml:space="preserve">.</w:t>
      </w:r>
    </w:p>
    <w:bookmarkEnd w:id="254"/>
    <w:bookmarkStart w:id="256"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5">
        <w:r>
          <w:rPr>
            <w:rStyle w:val="Hyperlink"/>
          </w:rPr>
          <w:t xml:space="preserve">http://arxiv.org/abs/2408.11876</w:t>
        </w:r>
      </w:hyperlink>
      <w:r>
        <w:t xml:space="preserve">.</w:t>
      </w:r>
    </w:p>
    <w:bookmarkEnd w:id="256"/>
    <w:bookmarkStart w:id="258"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7">
        <w:r>
          <w:rPr>
            <w:rStyle w:val="Hyperlink"/>
          </w:rPr>
          <w:t xml:space="preserve">https://doi.org/10.48550/ARXIV.2306.14308</w:t>
        </w:r>
      </w:hyperlink>
      <w:r>
        <w:t xml:space="preserve">.</w:t>
      </w:r>
    </w:p>
    <w:bookmarkEnd w:id="258"/>
    <w:bookmarkStart w:id="260"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9">
        <w:r>
          <w:rPr>
            <w:rStyle w:val="Hyperlink"/>
          </w:rPr>
          <w:t xml:space="preserve">http://arxiv.org/abs/2301.06627</w:t>
        </w:r>
      </w:hyperlink>
      <w:r>
        <w:t xml:space="preserve">.</w:t>
      </w:r>
    </w:p>
    <w:bookmarkEnd w:id="260"/>
    <w:bookmarkStart w:id="262"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1">
        <w:r>
          <w:rPr>
            <w:rStyle w:val="Hyperlink"/>
          </w:rPr>
          <w:t xml:space="preserve">http://arxiv.org/abs/2309.02884</w:t>
        </w:r>
      </w:hyperlink>
      <w:r>
        <w:t xml:space="preserve">.</w:t>
      </w:r>
    </w:p>
    <w:bookmarkEnd w:id="262"/>
    <w:bookmarkStart w:id="264"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3">
        <w:r>
          <w:rPr>
            <w:rStyle w:val="Hyperlink"/>
          </w:rPr>
          <w:t xml:space="preserve">http://arxiv.org/abs/2312.00164</w:t>
        </w:r>
      </w:hyperlink>
      <w:r>
        <w:t xml:space="preserve">.</w:t>
      </w:r>
    </w:p>
    <w:bookmarkEnd w:id="264"/>
    <w:bookmarkStart w:id="266"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5">
        <w:r>
          <w:rPr>
            <w:rStyle w:val="Hyperlink"/>
          </w:rPr>
          <w:t xml:space="preserve">https://doi.org/10.2196/50638</w:t>
        </w:r>
      </w:hyperlink>
      <w:r>
        <w:t xml:space="preserve">.</w:t>
      </w:r>
    </w:p>
    <w:bookmarkEnd w:id="266"/>
    <w:bookmarkStart w:id="268"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7">
        <w:r>
          <w:rPr>
            <w:rStyle w:val="Hyperlink"/>
          </w:rPr>
          <w:t xml:space="preserve">https://doi.org/10.1038/s41746-023-00873-0</w:t>
        </w:r>
      </w:hyperlink>
      <w:r>
        <w:t xml:space="preserve">.</w:t>
      </w:r>
    </w:p>
    <w:bookmarkEnd w:id="268"/>
    <w:bookmarkStart w:id="270"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9">
        <w:r>
          <w:rPr>
            <w:rStyle w:val="Hyperlink"/>
          </w:rPr>
          <w:t xml:space="preserve">http://arxiv.org/abs/2401.03910</w:t>
        </w:r>
      </w:hyperlink>
      <w:r>
        <w:t xml:space="preserve">.</w:t>
      </w:r>
    </w:p>
    <w:bookmarkEnd w:id="270"/>
    <w:bookmarkStart w:id="271"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1"/>
    <w:bookmarkStart w:id="273"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2">
        <w:r>
          <w:rPr>
            <w:rStyle w:val="Hyperlink"/>
          </w:rPr>
          <w:t xml:space="preserve">https://doi.org/10.48550/ARXIV.2303.13375</w:t>
        </w:r>
      </w:hyperlink>
      <w:r>
        <w:t xml:space="preserve">.</w:t>
      </w:r>
    </w:p>
    <w:bookmarkEnd w:id="273"/>
    <w:bookmarkStart w:id="275"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4">
        <w:r>
          <w:rPr>
            <w:rStyle w:val="Hyperlink"/>
          </w:rPr>
          <w:t xml:space="preserve">https://doi.org/10.1038/s41586-023-06802-1</w:t>
        </w:r>
      </w:hyperlink>
      <w:r>
        <w:t xml:space="preserve">.</w:t>
      </w:r>
    </w:p>
    <w:bookmarkEnd w:id="275"/>
    <w:bookmarkStart w:id="277"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http://arxiv.org/abs/2310.17623</w:t>
        </w:r>
      </w:hyperlink>
      <w:r>
        <w:t xml:space="preserve">.</w:t>
      </w:r>
    </w:p>
    <w:bookmarkEnd w:id="277"/>
    <w:bookmarkStart w:id="279"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8">
        <w:r>
          <w:rPr>
            <w:rStyle w:val="Hyperlink"/>
          </w:rPr>
          <w:t xml:space="preserve">http://arxiv.org/abs/2403.17881</w:t>
        </w:r>
      </w:hyperlink>
      <w:r>
        <w:t xml:space="preserve">.</w:t>
      </w:r>
    </w:p>
    <w:bookmarkEnd w:id="279"/>
    <w:bookmarkStart w:id="281"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0">
        <w:r>
          <w:rPr>
            <w:rStyle w:val="Hyperlink"/>
          </w:rPr>
          <w:t xml:space="preserve">http://arxiv.org/abs/2309.08594</w:t>
        </w:r>
      </w:hyperlink>
      <w:r>
        <w:t xml:space="preserve">.</w:t>
      </w:r>
    </w:p>
    <w:bookmarkEnd w:id="281"/>
    <w:bookmarkStart w:id="283"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2">
        <w:r>
          <w:rPr>
            <w:rStyle w:val="Hyperlink"/>
          </w:rPr>
          <w:t xml:space="preserve">http://arxiv.org/abs/2402.13963</w:t>
        </w:r>
      </w:hyperlink>
      <w:r>
        <w:t xml:space="preserve">.</w:t>
      </w:r>
    </w:p>
    <w:bookmarkEnd w:id="283"/>
    <w:bookmarkStart w:id="285"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4">
        <w:r>
          <w:rPr>
            <w:rStyle w:val="Hyperlink"/>
          </w:rPr>
          <w:t xml:space="preserve">https://doi.org/10.1145/3531146.3533158</w:t>
        </w:r>
      </w:hyperlink>
      <w:r>
        <w:t xml:space="preserve">.</w:t>
      </w:r>
    </w:p>
    <w:bookmarkEnd w:id="285"/>
    <w:bookmarkStart w:id="287"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6">
        <w:r>
          <w:rPr>
            <w:rStyle w:val="Hyperlink"/>
          </w:rPr>
          <w:t xml:space="preserve">https://doi.org/10.2196/48659</w:t>
        </w:r>
      </w:hyperlink>
      <w:r>
        <w:t xml:space="preserve">.</w:t>
      </w:r>
    </w:p>
    <w:bookmarkEnd w:id="287"/>
    <w:bookmarkStart w:id="289"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8">
        <w:r>
          <w:rPr>
            <w:rStyle w:val="Hyperlink"/>
          </w:rPr>
          <w:t xml:space="preserve">https://doi.org/10.1038/s41586-023-06924-6</w:t>
        </w:r>
      </w:hyperlink>
      <w:r>
        <w:t xml:space="preserve">.</w:t>
      </w:r>
    </w:p>
    <w:bookmarkEnd w:id="289"/>
    <w:bookmarkStart w:id="291"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http://arxiv.org/abs/2402.16786</w:t>
        </w:r>
      </w:hyperlink>
      <w:r>
        <w:t xml:space="preserve">.</w:t>
      </w:r>
    </w:p>
    <w:bookmarkEnd w:id="291"/>
    <w:bookmarkStart w:id="293"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2">
        <w:r>
          <w:rPr>
            <w:rStyle w:val="Hyperlink"/>
          </w:rPr>
          <w:t xml:space="preserve">https://doi.org/10.3390/socsci12030148</w:t>
        </w:r>
      </w:hyperlink>
      <w:r>
        <w:t xml:space="preserve">.</w:t>
      </w:r>
    </w:p>
    <w:bookmarkEnd w:id="293"/>
    <w:bookmarkStart w:id="295"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4">
        <w:r>
          <w:rPr>
            <w:rStyle w:val="Hyperlink"/>
          </w:rPr>
          <w:t xml:space="preserve">http://arxiv.org/abs/2402.01789</w:t>
        </w:r>
      </w:hyperlink>
      <w:r>
        <w:t xml:space="preserve">.</w:t>
      </w:r>
    </w:p>
    <w:bookmarkEnd w:id="295"/>
    <w:bookmarkStart w:id="297"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6">
        <w:r>
          <w:rPr>
            <w:rStyle w:val="Hyperlink"/>
          </w:rPr>
          <w:t xml:space="preserve">http://arxiv.org/abs/2404.18416</w:t>
        </w:r>
      </w:hyperlink>
      <w:r>
        <w:t xml:space="preserve">.</w:t>
      </w:r>
    </w:p>
    <w:bookmarkEnd w:id="297"/>
    <w:bookmarkStart w:id="299"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8">
        <w:r>
          <w:rPr>
            <w:rStyle w:val="Hyperlink"/>
          </w:rPr>
          <w:t xml:space="preserve">http://arxiv.org/abs/2402.08797</w:t>
        </w:r>
      </w:hyperlink>
      <w:r>
        <w:t xml:space="preserve">.</w:t>
      </w:r>
    </w:p>
    <w:bookmarkEnd w:id="299"/>
    <w:bookmarkStart w:id="301"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0">
        <w:r>
          <w:rPr>
            <w:rStyle w:val="Hyperlink"/>
          </w:rPr>
          <w:t xml:space="preserve">http://arxiv.org/abs/2305.17493</w:t>
        </w:r>
      </w:hyperlink>
      <w:r>
        <w:t xml:space="preserve">.</w:t>
      </w:r>
    </w:p>
    <w:bookmarkEnd w:id="301"/>
    <w:bookmarkStart w:id="303"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2">
        <w:r>
          <w:rPr>
            <w:rStyle w:val="Hyperlink"/>
          </w:rPr>
          <w:t xml:space="preserve">https://doi.org/10.1038/s41586-023-06291-2</w:t>
        </w:r>
      </w:hyperlink>
      <w:r>
        <w:t xml:space="preserve">.</w:t>
      </w:r>
    </w:p>
    <w:bookmarkEnd w:id="303"/>
    <w:bookmarkStart w:id="305"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4">
        <w:r>
          <w:rPr>
            <w:rStyle w:val="Hyperlink"/>
          </w:rPr>
          <w:t xml:space="preserve">https://doi.org/10.1016/j.ajp.2023.103705</w:t>
        </w:r>
      </w:hyperlink>
      <w:r>
        <w:t xml:space="preserve">.</w:t>
      </w:r>
    </w:p>
    <w:bookmarkEnd w:id="305"/>
    <w:bookmarkStart w:id="307"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6">
        <w:r>
          <w:rPr>
            <w:rStyle w:val="Hyperlink"/>
          </w:rPr>
          <w:t xml:space="preserve">http://arxiv.org/abs/2407.09025</w:t>
        </w:r>
      </w:hyperlink>
      <w:r>
        <w:t xml:space="preserve">.</w:t>
      </w:r>
    </w:p>
    <w:bookmarkEnd w:id="307"/>
    <w:bookmarkStart w:id="309"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8">
        <w:r>
          <w:rPr>
            <w:rStyle w:val="Hyperlink"/>
          </w:rPr>
          <w:t xml:space="preserve">https://doi.org/10.48550/ARXIV.2401.05654</w:t>
        </w:r>
      </w:hyperlink>
      <w:r>
        <w:t xml:space="preserve">.</w:t>
      </w:r>
    </w:p>
    <w:bookmarkEnd w:id="309"/>
    <w:bookmarkStart w:id="311"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0">
        <w:r>
          <w:rPr>
            <w:rStyle w:val="Hyperlink"/>
          </w:rPr>
          <w:t xml:space="preserve">http://arxiv.org/abs/2404.04125</w:t>
        </w:r>
      </w:hyperlink>
      <w:r>
        <w:t xml:space="preserve">.</w:t>
      </w:r>
    </w:p>
    <w:bookmarkEnd w:id="311"/>
    <w:bookmarkStart w:id="313"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2">
        <w:r>
          <w:rPr>
            <w:rStyle w:val="Hyperlink"/>
          </w:rPr>
          <w:t xml:space="preserve">http://arxiv.org/abs/2211.04325</w:t>
        </w:r>
      </w:hyperlink>
      <w:r>
        <w:t xml:space="preserve">.</w:t>
      </w:r>
    </w:p>
    <w:bookmarkEnd w:id="313"/>
    <w:bookmarkStart w:id="315"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4">
        <w:r>
          <w:rPr>
            <w:rStyle w:val="Hyperlink"/>
          </w:rPr>
          <w:t xml:space="preserve">http://arxiv.org/abs/2309.11758</w:t>
        </w:r>
      </w:hyperlink>
      <w:r>
        <w:t xml:space="preserve">.</w:t>
      </w:r>
    </w:p>
    <w:bookmarkEnd w:id="315"/>
    <w:bookmarkStart w:id="317"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6">
        <w:r>
          <w:rPr>
            <w:rStyle w:val="Hyperlink"/>
          </w:rPr>
          <w:t xml:space="preserve">http://arxiv.org/abs/2201.11903</w:t>
        </w:r>
      </w:hyperlink>
      <w:r>
        <w:t xml:space="preserve">.</w:t>
      </w:r>
    </w:p>
    <w:bookmarkEnd w:id="317"/>
    <w:bookmarkStart w:id="319"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8">
        <w:r>
          <w:rPr>
            <w:rStyle w:val="Hyperlink"/>
          </w:rPr>
          <w:t xml:space="preserve">http://arxiv.org/abs/2403.18802</w:t>
        </w:r>
      </w:hyperlink>
      <w:r>
        <w:t xml:space="preserve">.</w:t>
      </w:r>
    </w:p>
    <w:bookmarkEnd w:id="319"/>
    <w:bookmarkStart w:id="321"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0">
        <w:r>
          <w:rPr>
            <w:rStyle w:val="Hyperlink"/>
          </w:rPr>
          <w:t xml:space="preserve">http://arxiv.org/abs/2403.09751</w:t>
        </w:r>
      </w:hyperlink>
      <w:r>
        <w:t xml:space="preserve">.</w:t>
      </w:r>
    </w:p>
    <w:bookmarkEnd w:id="321"/>
    <w:bookmarkStart w:id="323"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2">
        <w:r>
          <w:rPr>
            <w:rStyle w:val="Hyperlink"/>
          </w:rPr>
          <w:t xml:space="preserve">http://arxiv.org/abs/2402.10588</w:t>
        </w:r>
      </w:hyperlink>
      <w:r>
        <w:t xml:space="preserve">.</w:t>
      </w:r>
    </w:p>
    <w:bookmarkEnd w:id="323"/>
    <w:bookmarkStart w:id="325"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4">
        <w:r>
          <w:rPr>
            <w:rStyle w:val="Hyperlink"/>
          </w:rPr>
          <w:t xml:space="preserve">https://doi.org/10.1038/s41746-023-00879-8</w:t>
        </w:r>
      </w:hyperlink>
      <w:r>
        <w:t xml:space="preserve">.</w:t>
      </w:r>
    </w:p>
    <w:bookmarkEnd w:id="325"/>
    <w:bookmarkStart w:id="327"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6">
        <w:r>
          <w:rPr>
            <w:rStyle w:val="Hyperlink"/>
          </w:rPr>
          <w:t xml:space="preserve">https://doi.org/10.1177/17456916231201401</w:t>
        </w:r>
      </w:hyperlink>
      <w:r>
        <w:t xml:space="preserve">.</w:t>
      </w:r>
    </w:p>
    <w:bookmarkEnd w:id="327"/>
    <w:bookmarkStart w:id="329"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8">
        <w:r>
          <w:rPr>
            <w:rStyle w:val="Hyperlink"/>
          </w:rPr>
          <w:t xml:space="preserve">https://doi.org/10.1016/j.patter.2023.100802</w:t>
        </w:r>
      </w:hyperlink>
      <w:r>
        <w:t xml:space="preserve">.</w:t>
      </w:r>
    </w:p>
    <w:bookmarkEnd w:id="329"/>
    <w:bookmarkStart w:id="331"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0">
        <w:r>
          <w:rPr>
            <w:rStyle w:val="Hyperlink"/>
          </w:rPr>
          <w:t xml:space="preserve">https://doi.org/10.2196/51308</w:t>
        </w:r>
      </w:hyperlink>
      <w:r>
        <w:t xml:space="preserve">.</w:t>
      </w:r>
    </w:p>
    <w:bookmarkEnd w:id="331"/>
    <w:bookmarkStart w:id="333"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2">
        <w:r>
          <w:rPr>
            <w:rStyle w:val="Hyperlink"/>
          </w:rPr>
          <w:t xml:space="preserve">https://doi.org/10.1038/s41592-024-02499-w</w:t>
        </w:r>
      </w:hyperlink>
      <w:r>
        <w:t xml:space="preserve">.</w:t>
      </w:r>
    </w:p>
    <w:bookmarkEnd w:id="333"/>
    <w:bookmarkStart w:id="335"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4">
        <w:r>
          <w:rPr>
            <w:rStyle w:val="Hyperlink"/>
          </w:rPr>
          <w:t xml:space="preserve">http://arxiv.org/abs/2312.07353</w:t>
        </w:r>
      </w:hyperlink>
      <w:r>
        <w:t xml:space="preserve">.</w:t>
      </w:r>
    </w:p>
    <w:bookmarkEnd w:id="335"/>
    <w:bookmarkStart w:id="337"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6">
        <w:r>
          <w:rPr>
            <w:rStyle w:val="Hyperlink"/>
          </w:rPr>
          <w:t xml:space="preserve">http://arxiv.org/abs/2406.04520</w:t>
        </w:r>
      </w:hyperlink>
      <w:r>
        <w:t xml:space="preserve">.</w:t>
      </w:r>
    </w:p>
    <w:bookmarkEnd w:id="337"/>
    <w:bookmarkStart w:id="339"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8">
        <w:r>
          <w:rPr>
            <w:rStyle w:val="Hyperlink"/>
          </w:rPr>
          <w:t xml:space="preserve">http://arxiv.org/abs/2307.13854</w:t>
        </w:r>
      </w:hyperlink>
      <w:r>
        <w:t xml:space="preserve">.</w:t>
      </w:r>
    </w:p>
    <w:bookmarkEnd w:id="339"/>
    <w:bookmarkEnd w:id="340"/>
    <w:bookmarkEnd w:id="34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52" Target="media/rId52.svg" /><Relationship Type="http://schemas.openxmlformats.org/officeDocument/2006/relationships/image" Id="rId121" Target="media/rId121.svg" /><Relationship Type="http://schemas.openxmlformats.org/officeDocument/2006/relationships/image" Id="rId110" Target="media/rId110.svg" /><Relationship Type="http://schemas.openxmlformats.org/officeDocument/2006/relationships/image" Id="rId116" Target="media/rId116.sv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55" Target="media/rId55.png" /><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2025-03-24T22:40:16Z</dcterms:created>
  <dcterms:modified xsi:type="dcterms:W3CDTF">2025-03-24T22:40:16Z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