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2.png" ContentType="image/png"/>
  <Override PartName="/word/media/rId57.svg" ContentType="image/svg+xml"/>
  <Override PartName="/word/media/rId131.svg" ContentType="image/svg+xml"/>
  <Override PartName="/word/media/rId126.svg" ContentType="image/svg+xml"/>
  <Override PartName="/word/media/rId129.png" ContentType="image/png"/>
  <Override PartName="/word/media/rId134.png" ContentType="image/png"/>
  <Override PartName="/word/media/rId60.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Exception</w:t>
      </w:r>
    </w:p>
    <w:p>
      <w:pPr>
        <w:pStyle w:val="Subtitle"/>
      </w:pPr>
      <w:r>
        <w:t xml:space="preserve">Why AI Will Enhance, Not Replace</w:t>
      </w:r>
    </w:p>
    <w:p>
      <w:pPr>
        <w:pStyle w:val="Author"/>
      </w:pPr>
      <w:r>
        <w:t xml:space="preserve">Sami Karam and Richard Sprague</w:t>
      </w:r>
    </w:p>
    <w:p>
      <w:pPr>
        <w:pStyle w:val="Date"/>
      </w:pPr>
      <w:r>
        <w:t xml:space="preserve">2025-04-12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In early 2025, Bill Gates was a guest on NBC’s</w:t>
      </w:r>
      <w:r>
        <w:t xml:space="preserve"> </w:t>
      </w:r>
      <w:r>
        <w:rPr>
          <w:i/>
          <w:iCs/>
        </w:rPr>
        <w:t xml:space="preserve">The Tonight Show with Jimmy Fallon</w:t>
      </w:r>
      <w:r>
        <w:t xml:space="preserve">. Speaking of AI, Gates said to Fallon:</w:t>
      </w:r>
    </w:p>
    <w:p>
      <w:pPr>
        <w:pStyle w:val="BlockText"/>
      </w:pPr>
      <w:r>
        <w:t xml:space="preserve">The era that we are just starting is that intelligence is rare, you know, a great doctor, a great teacher. And with AI, over the next decade, that will become free, commonplace: great medical advice, great tutoring. And it’s kind of profound because it solves all these specific problems, like we don’t have enough doctors or mental health professionals. But it brings with it so much change, what will jobs be like, should we just work two or three days a week? So I love the way it will drive innovation forward, but I think it’s a little bit unknown. Will we be able to shape it? And so, legitimately, people are wow, this is a bit scary, it’s completely new territory.</w:t>
      </w:r>
    </w:p>
    <w:p>
      <w:pPr>
        <w:pStyle w:val="FirstParagraph"/>
      </w:pPr>
      <w:r>
        <w:t xml:space="preserve">Asked then by Fallon whether we will</w:t>
      </w:r>
      <w:r>
        <w:t xml:space="preserve"> </w:t>
      </w:r>
      <w:r>
        <w:t xml:space="preserve">“</w:t>
      </w:r>
      <w:r>
        <w:rPr>
          <w:i/>
          <w:iCs/>
        </w:rPr>
        <w:t xml:space="preserve">still need humans</w:t>
      </w:r>
      <w:r>
        <w:t xml:space="preserve">”</w:t>
      </w:r>
      <w:r>
        <w:t xml:space="preserve">, Gates answered</w:t>
      </w:r>
      <w:r>
        <w:t xml:space="preserve"> </w:t>
      </w:r>
      <w:r>
        <w:t xml:space="preserve">“</w:t>
      </w:r>
      <w:r>
        <w:rPr>
          <w:i/>
          <w:iCs/>
        </w:rPr>
        <w:t xml:space="preserve">not for most things</w:t>
      </w:r>
      <w:r>
        <w:t xml:space="preserve">”</w:t>
      </w:r>
      <w:r>
        <w:t xml:space="preserve"> </w:t>
      </w:r>
      <w:r>
        <w:t xml:space="preserve">and then</w:t>
      </w:r>
      <w:r>
        <w:t xml:space="preserve"> </w:t>
      </w:r>
      <w:r>
        <w:t xml:space="preserve">“</w:t>
      </w:r>
      <w:r>
        <w:rPr>
          <w:i/>
          <w:iCs/>
        </w:rPr>
        <w:t xml:space="preserve">there will be some things that we reserve for ourselves, but in terms of making things, and moving things and growing food, over time, those will be basically solved problems.</w:t>
      </w:r>
      <w:r>
        <w:t xml:space="preserve">”</w:t>
      </w:r>
    </w:p>
    <w:p>
      <w:pPr>
        <w:pStyle w:val="BodyText"/>
      </w:pPr>
      <w:r>
        <w:t xml:space="preserve">In these few sentences, Gates touched on the main themes of this book: the role of AI in performing basic tasks, the uncertainty concerning many occupations, the scariness of new territory, and the fact that some things will remain reserved for human beings.</w:t>
      </w:r>
    </w:p>
    <w:p>
      <w:pPr>
        <w:pStyle w:val="BodyText"/>
      </w:pPr>
      <w:r>
        <w:t xml:space="preserve">In this book, we present a thesis that the human being will remain at the center of the AI revolution. Some jobs will disappear but other new ones will be created. We also differentiate between the</w:t>
      </w:r>
      <w:r>
        <w:t xml:space="preserve"> </w:t>
      </w:r>
      <w:r>
        <w:t xml:space="preserve">‘how’</w:t>
      </w:r>
      <w:r>
        <w:t xml:space="preserve"> </w:t>
      </w:r>
      <w:r>
        <w:t xml:space="preserve">and the</w:t>
      </w:r>
      <w:r>
        <w:t xml:space="preserve"> </w:t>
      </w:r>
      <w:r>
        <w:t xml:space="preserve">‘what’</w:t>
      </w:r>
      <w:r>
        <w:t xml:space="preserve"> </w:t>
      </w:r>
      <w:r>
        <w:t xml:space="preserve">involved in every project. AI models will excel at the</w:t>
      </w:r>
      <w:r>
        <w:t xml:space="preserve"> </w:t>
      </w:r>
      <w:r>
        <w:t xml:space="preserve">‘how’</w:t>
      </w:r>
      <w:r>
        <w:t xml:space="preserve">, but human beings will remain unmatched in the</w:t>
      </w:r>
      <w:r>
        <w:t xml:space="preserve"> </w:t>
      </w:r>
      <w:r>
        <w:t xml:space="preserve">‘what’</w:t>
      </w:r>
      <w:r>
        <w:t xml:space="preserve">.</w:t>
      </w:r>
    </w:p>
    <w:p>
      <w:pPr>
        <w:pStyle w:val="BodyText"/>
      </w:pPr>
      <w:r>
        <w:t xml:space="preserve">The archetype project of the future, as we envision it, will be largely carried out by robots or AI models but it will still be directed, masterminded, choreographed and led by humans who will remain the indispensable actors in the effort.</w:t>
      </w:r>
    </w:p>
    <w:p>
      <w:pPr>
        <w:pStyle w:val="BodyText"/>
      </w:pPr>
      <w:r>
        <w:t xml:space="preserve">We propose this book as an example of such a project. First the two of us worked together for eight months, writing a weekly AI-themed column on Substack. Second, we created an outline for this book. Third, we fed Claude all of the columns that we had written and asked it to start generating the chapters of the book according to the outline. Fourth, we fact-checked the text and prompted Claude to make changes in order to refine the chapters. Finally, we edited the text in the traditional way to improve it and to remove redundancies or inconsistencies.</w:t>
      </w:r>
      <w:r>
        <w:t xml:space="preserve"> </w:t>
      </w:r>
      <w:r>
        <w:t xml:space="preserve">This process exemplifies our notion of how AI will be used in the future, not to replace human beings, but to enhance their work.</w:t>
      </w:r>
    </w:p>
    <w:p>
      <w:pPr>
        <w:pStyle w:val="BodyText"/>
      </w:pPr>
      <w:r>
        <w:t xml:space="preserve">Each of us brought decades of experience that were complementary to each other, Richard from the tech world and Sami from the financial world. This wide combined expertise allowed us to approach the question of AI in the future world not only from a technical perspective but also with the mind of an investor.</w:t>
      </w:r>
    </w:p>
    <w:p>
      <w:pPr>
        <w:pStyle w:val="BodyText"/>
      </w:pPr>
      <w:r>
        <w:t xml:space="preserve">So is this an AI-written book? Yes and no, but mostly no. Yes, in the sense that several sections of the text were AI-generated. No, and this is in our view the critical qualifier, because AI generated those sections after training itself on text that we had previously written in the traditional (non AI-assisted) way. No also because we corrected, fact-checked and edited all AI-generated text. We used AI as a powerful assistant, but the end result is a product of two humans.</w:t>
      </w:r>
    </w:p>
    <w:p>
      <w:pPr>
        <w:pStyle w:val="BodyText"/>
      </w:pPr>
      <w:r>
        <w:t xml:space="preserve">As we write in chapter 3,</w:t>
      </w:r>
      <w:r>
        <w:t xml:space="preserve"> </w:t>
      </w:r>
      <w:r>
        <w:t xml:space="preserve">“</w:t>
      </w:r>
      <w:r>
        <w:rPr>
          <w:i/>
          <w:iCs/>
        </w:rP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r>
        <w:t xml:space="preserve">”</w:t>
      </w:r>
    </w:p>
    <w:p>
      <w:pPr>
        <w:pStyle w:val="BodyText"/>
      </w:pPr>
      <w:r>
        <w:t xml:space="preserve">At the same time, it was important to us to do an editing job that was not too extensive because that would defeat the thesis that AI can do a large share of the work. Many sections were left intact as produced by Claude.</w:t>
      </w:r>
    </w:p>
    <w:p>
      <w:pPr>
        <w:pStyle w:val="BodyText"/>
      </w:pPr>
      <w:r>
        <w:t xml:space="preserve">To the extent that some errors have survived the final cut, they should be attributed to AI and not to any motive on our part to mislead or misinform.</w:t>
      </w:r>
    </w:p>
    <w:p>
      <w:pPr>
        <w:pStyle w:val="BodyText"/>
      </w:pPr>
      <w:r>
        <w:t xml:space="preserve">Finally, AI can sometimes be repetitive. We have reduced repetition as much as possible, while being mindful not to re-write entire sections. The end product is intended to showcase our central thesis, which is that AI is a powerful assistant, but the human will retain the lead in every project.</w:t>
      </w:r>
    </w:p>
    <w:bookmarkEnd w:id="20"/>
    <w:bookmarkStart w:id="21" w:name="introduction"/>
    <w:p>
      <w:pPr>
        <w:pStyle w:val="Heading1"/>
      </w:pPr>
      <w:r>
        <w:t xml:space="preserve">Introduction</w:t>
      </w:r>
    </w:p>
    <w:p>
      <w:pPr>
        <w:pStyle w:val="FirstParagraph"/>
      </w:pPr>
      <w:r>
        <w:t xml:space="preserve">In 2021, a fascinating experiment took place in the world of classical music. A team of music historians, musicologists, composers, and computer scientists gathered to undertake an unprecedented task: completing Beethoven</w:t>
      </w:r>
      <w:r>
        <w:t xml:space="preserve">’s unfinished Tenth Symphony with the help of artificial intelligence</w:t>
      </w:r>
      <w:r>
        <w:t xml:space="preserve">. Beethoven had begun composing this symphony but died in 1827 before making significant progress, leaving behind only a few musical sketches rather than a substantive draft.</w:t>
      </w:r>
    </w:p>
    <w:p>
      <w:pPr>
        <w:pStyle w:val="BodyText"/>
      </w:pPr>
      <w:r>
        <w:t xml:space="preserve">The team approached this challenge using the two-step process typical of AI applications. First came the training phase, where they fed Beethoven’s entire body of work—his completed symphonies, chamber music, and piano compositions—into their AI system, along with the sketches he had started for the Tenth Symphony. Then came the inference phase, where they asked the AI to generate the rest of the symphony based on what it had learned.</w:t>
      </w:r>
    </w:p>
    <w:p>
      <w:pPr>
        <w:pStyle w:val="BodyText"/>
      </w:pPr>
      <w:r>
        <w:t xml:space="preserve">This project neatly encapsulates a common aspiration: the idea that AI might eventually replace human creative work. Here was a team of professionals training a machine to replicate the work of a human genius. The stakes were high, with considerable publicity surrounding the announcement that the AI-generated Tenth Symphony would premiere in Bonn, Germany—Beethoven’s birthplace—on October 9, 2021.</w:t>
      </w:r>
    </w:p>
    <w:p>
      <w:pPr>
        <w:pStyle w:val="BodyText"/>
      </w:pPr>
      <w:r>
        <w:t xml:space="preserve">When the performance finally took place, the initial response was impressive. The music did sound Beethoven-esque in many parts. Yet in the days and months that followed, a consensus emerged: while technically competent, the AI-generated symphony lacked the essential qualities that made Beethoven’s actual works masterpieces. It missed the passion, spirit, and tangible human touch that defines great art. Instead, it sounded somewhat mechanical and betrayed its artificial genesis through repetitive patterns. It was precise and competent, but ultimately deficient in its ability to convey emotion, to elevate, and to inspire listeners.</w:t>
      </w:r>
    </w:p>
    <w:p>
      <w:pPr>
        <w:pStyle w:val="BodyText"/>
      </w:pPr>
      <w:r>
        <w:t xml:space="preserve">Among the many expert opinions we reviewed, one comment from music critic and Beethoven scholar Jan Swafford particularly resonated. He described the AI composition as</w:t>
      </w:r>
      <w:r>
        <w:t xml:space="preserve"> </w:t>
      </w:r>
      <w:r>
        <w:t xml:space="preserve">“aimless and uninspired”</w:t>
      </w:r>
      <w:r>
        <w:t xml:space="preserve"> </w:t>
      </w:r>
      <w:r>
        <w:t xml:space="preserve">and observed that what audiences fundamentally want is</w:t>
      </w:r>
      <w:r>
        <w:t xml:space="preserve"> </w:t>
      </w:r>
      <w:r>
        <w:t xml:space="preserve">“to see the human doing it.”</w:t>
      </w:r>
      <w:r>
        <w:t xml:space="preserve"> </w:t>
      </w:r>
      <w:r>
        <w:t xml:space="preserve">This insight—that humans want to see other humans create—forms the central thesis of our book.</w:t>
      </w:r>
    </w:p>
    <w:p>
      <w:pPr>
        <w:pStyle w:val="BodyText"/>
      </w:pPr>
      <w:r>
        <w:t xml:space="preserve">We believe AI can serve as an extraordinarily effective assistant to humans across numerous domains, but it will never satisfactorily replace the human element. Leadership, teamwork, and creative work require the inspiration and judgment that only humans can provide. An AI program, no matter how sophisticated, cannot replicate these quintessentially human qualities.</w:t>
      </w:r>
    </w:p>
    <w:p>
      <w:pPr>
        <w:pStyle w:val="BodyText"/>
      </w:pPr>
      <w:r>
        <w:t xml:space="preserve">This is a particularly appropriate moment to explore this perspective, as the AI revolution has generated two competing narratives, both fundamentally flawed.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story—one where artificial intelligence enhances rather than replaces human capabilities</w:t>
      </w:r>
      <w:r>
        <w:t xml:space="preserve">.</w:t>
      </w:r>
    </w:p>
    <w:p>
      <w:pPr>
        <w:pStyle w:val="BodyText"/>
      </w:pPr>
      <w:r>
        <w:t xml:space="preserve">In our view, AI functions best as a force multiplier. Throughout history, humanity has developed many such force multipliers—from the wheel to the printing press to the computer—all of which have enhanced human productivity and contributed to societal wealth. AI represents perhaps the most powerful force multiplier yet developed, with the potential to dramatically boost productivity and raise living standards.</w:t>
      </w:r>
    </w:p>
    <w:p>
      <w:pPr>
        <w:pStyle w:val="BodyText"/>
      </w:pPr>
      <w:r>
        <w:t xml:space="preserve">This is not to say the transition will be painless. Many jobs will disappear or transform dramatically, and significant numbers of people will need to retrain for new roles. But this pattern of creative destruction has been a constant feature of technological progress. The industrial revolution replaced manual labor with machines; the digital revolution automated clerical tasks; now the AI revolution will reshape knowledge work. Each wave of change brings disruption but ultimately creates new opportunities and greater prosperity.</w:t>
      </w:r>
    </w:p>
    <w:p>
      <w:pPr>
        <w:pStyle w:val="BodyText"/>
      </w:pPr>
      <w:r>
        <w:t xml:space="preserve">Drawing on our combined experience in finance and technology, we’ve observed a consistent pattern across industries: the most successful AI applications are those that augment human judgment</w:t>
      </w:r>
      <w:r>
        <w:t xml:space="preserve"> </w:t>
      </w:r>
      <w:r>
        <w:t xml:space="preserve">rather than attempt to replace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Previous technological revolutions follow similar trajectories. Recall the introduction of ATMs in banking. Many predicted the extinction of human bank tellers. Yet something unexpected happened: while fewer tellers were needed per branch, banks opened more branches, and the total number of tellers actually increased. The nature of their work evolved from routine transactions to more complex customer service</w:t>
      </w:r>
      <w:r>
        <w:t xml:space="preserve"> </w:t>
      </w:r>
      <w:r>
        <w:t xml:space="preserve">and relationship management.</w:t>
      </w:r>
    </w:p>
    <w:p>
      <w:pPr>
        <w:pStyle w:val="BodyText"/>
      </w:pPr>
      <w:r>
        <w:t xml:space="preserve">The same pattern emerged with computer-aided design tools in architecture. Rather than replacing architects, these tools enhanced their creative capabilities and ultimately enabled firms to hire more architects to pursue more ambitious projects.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Throughout this book, we challenge both the fear-mongering and the hype surrounding AI, presenting instead a framework for understanding how AI can enhance human capabilities across industries. Drawing on real-world case studies and our own experience implementing AI solutions, we demonstrate why keeping humans central to decision-making</w:t>
      </w:r>
      <w:r>
        <w:t xml:space="preserve"> </w:t>
      </w:r>
      <w:r>
        <w:t xml:space="preserve">leads to better outcomes than pursuing full automation</w:t>
      </w:r>
      <w:r>
        <w:t xml:space="preserve">.</w:t>
      </w:r>
    </w:p>
    <w:p>
      <w:pPr>
        <w:pStyle w:val="BodyText"/>
      </w:pPr>
      <w:r>
        <w:t xml:space="preserve">For business leaders, we offer practical guidance on implementing AI in ways that augment rather than replace human workers. For investors, we provide frameworks for evaluating AI companies based on their approach to human-AI collaboration</w:t>
      </w:r>
      <w:r>
        <w:t xml:space="preserve">. For policymakers, we outline principles for governing AI development while preserving human agency</w:t>
      </w:r>
      <w:r>
        <w:t xml:space="preserve"> </w:t>
      </w:r>
      <w:r>
        <w:t xml:space="preserve">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w:t>
      </w:r>
      <w:r>
        <w:t xml:space="preserve">, where human capabilities are amplified by AI rather than superseded by it. Understanding this distinction—and its implications for business strategy, investment decisions, and policy choices—will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8"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w:t>
      </w:r>
      <w:r>
        <w:t xml:space="preserve"> </w:t>
      </w:r>
      <w:r>
        <w:t xml:space="preserve">has sparked the same debate: will machines liberate us or leave us jobless? Today, artificial intelligence</w:t>
      </w:r>
      <w:r>
        <w:t xml:space="preserve"> </w:t>
      </w:r>
      <w:r>
        <w:t xml:space="preserve">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w:t>
      </w:r>
      <w:r>
        <w:t xml:space="preserve"> </w:t>
      </w:r>
      <w:r>
        <w:t xml:space="preserve">is already reshaping industries. The goal isn’t to dismiss AI’s potential or its disruptions—it’s to reframe the conversation around what it can realistically do alongside us.</w:t>
      </w:r>
    </w:p>
    <w:bookmarkStart w:id="22" w:name="beyond-replacement-the-historical-lens"/>
    <w:p>
      <w:pPr>
        <w:pStyle w:val="Heading2"/>
      </w:pPr>
      <w:r>
        <w:t xml:space="preserve">1.1 Beyond Replacement: The Historical Lens</w:t>
      </w:r>
    </w:p>
    <w:p>
      <w:pPr>
        <w:pStyle w:val="FirstParagraph"/>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w:t>
      </w:r>
      <w:r>
        <w:t xml:space="preserve">’s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w:t>
      </w:r>
      <w:r>
        <w:t xml:space="preserve"> </w:t>
      </w:r>
      <w:r>
        <w:t xml:space="preserve">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bookmarkEnd w:id="22"/>
    <w:bookmarkStart w:id="23" w:name="the-hype-and-the-hope-ais-modern-moment"/>
    <w:p>
      <w:pPr>
        <w:pStyle w:val="Heading2"/>
      </w:pPr>
      <w:r>
        <w:t xml:space="preserve">1.2 The Hype and the Hope: AI’s Modern Moment</w:t>
      </w:r>
    </w:p>
    <w:p>
      <w:pPr>
        <w:pStyle w:val="FirstParagraph"/>
      </w:pPr>
      <w:r>
        <w:t xml:space="preserve">Enter ChatGPT</w:t>
      </w:r>
      <w:r>
        <w:t xml:space="preserve"> </w:t>
      </w:r>
      <w:r>
        <w:t xml:space="preserve">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w:t>
      </w:r>
      <w:r>
        <w:t xml:space="preserve">. The truth, as usual, is less dramatic but more interesting.</w:t>
      </w:r>
    </w:p>
    <w:p>
      <w:pPr>
        <w:pStyle w:val="BodyText"/>
      </w:pPr>
      <w:r>
        <w:t xml:space="preserve">Take Microsoft</w:t>
      </w:r>
      <w:r>
        <w:t xml:space="preserve">’s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w:t>
      </w:r>
      <w:r>
        <w:t xml:space="preserve">,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w:t>
      </w:r>
      <w:r>
        <w:t xml:space="preserve">’s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bookmarkEnd w:id="23"/>
    <w:bookmarkStart w:id="24" w:name="where-ai-shines-where-it-stalls"/>
    <w:p>
      <w:pPr>
        <w:pStyle w:val="Heading2"/>
      </w:pPr>
      <w:r>
        <w:t xml:space="preserve">1.3 Where AI Shines, Where It Stalls</w:t>
      </w:r>
    </w:p>
    <w:p>
      <w:pPr>
        <w:pStyle w:val="FirstParagraph"/>
      </w:pPr>
      <w:r>
        <w:t xml:space="preserve">To get why this keeps happening, we need to peek under AI’s hood—just enough to see its edges. Today’s systems, like the large language models</w:t>
      </w:r>
      <w:r>
        <w:t xml:space="preserve"> </w:t>
      </w:r>
      <w:r>
        <w:t xml:space="preserve">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w:t>
      </w:r>
      <w:r>
        <w:t xml:space="preserve"> </w:t>
      </w:r>
      <w:r>
        <w:t xml:space="preserve">quality Martin Heidegger</w:t>
      </w:r>
      <w:r>
        <w:t xml:space="preserve"> </w:t>
      </w:r>
      <w:r>
        <w:t xml:space="preserve">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w:t>
      </w:r>
      <w:r>
        <w:t xml:space="preserve">. Starbucks</w:t>
      </w:r>
      <w:r>
        <w:t xml:space="preserve"> </w:t>
      </w:r>
      <w:r>
        <w:t xml:space="preserve">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bookmarkEnd w:id="24"/>
    <w:bookmarkStart w:id="25" w:name="the-enhancement-edge-real-world-proof"/>
    <w:p>
      <w:pPr>
        <w:pStyle w:val="Heading2"/>
      </w:pPr>
      <w:r>
        <w:t xml:space="preserve">1.4 The Enhancement Edge: Real-World Proof</w:t>
      </w:r>
    </w:p>
    <w:p>
      <w:pPr>
        <w:pStyle w:val="FirstParagraph"/>
      </w:pPr>
      <w:r>
        <w:t xml:space="preserve">Let’s widen the lens. In healthcare</w:t>
      </w:r>
      <w:r>
        <w:t xml:space="preserv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w:t>
      </w:r>
      <w:r>
        <w:t xml:space="preserve">’s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w:t>
      </w:r>
      <w:r>
        <w:t xml:space="preserve"> </w:t>
      </w:r>
      <w:r>
        <w:t xml:space="preserve">Translate can churn through 100 languages, but for legal contracts or poetry, human linguists step in. A 2023 study pitted AI against pros on French-to-English novels; the AI nailed grammar but flubbed idioms and tone. Humans caught the culture—AI just caught the words.</w:t>
      </w:r>
    </w:p>
    <w:bookmarkEnd w:id="25"/>
    <w:bookmarkStart w:id="26" w:name="reframing-the-future"/>
    <w:p>
      <w:pPr>
        <w:pStyle w:val="Heading2"/>
      </w:pPr>
      <w:r>
        <w:t xml:space="preserve">1.5 Reframing the Future</w:t>
      </w:r>
    </w:p>
    <w:p>
      <w:pPr>
        <w:pStyle w:val="FirstParagraph"/>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bookmarkEnd w:id="26"/>
    <w:bookmarkStart w:id="27" w:name="the-current-thing"/>
    <w:p>
      <w:pPr>
        <w:pStyle w:val="Heading2"/>
      </w:pPr>
      <w:r>
        <w:t xml:space="preserve">1.6 The Current Thing</w:t>
      </w:r>
    </w:p>
    <w:p>
      <w:pPr>
        <w:pStyle w:val="FirstParagraph"/>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7"/>
    <w:bookmarkEnd w:id="28"/>
    <w:bookmarkStart w:id="43" w:name="Xca8b6c6a32a4db2ef2888c8a2026db48cdf353f"/>
    <w:p>
      <w:pPr>
        <w:pStyle w:val="Heading1"/>
      </w:pPr>
      <w:r>
        <w:t xml:space="preserve">2. Inside the Black Box: Understanding What AI Actually Does</w:t>
      </w:r>
    </w:p>
    <w:p>
      <w:pPr>
        <w:pStyle w:val="FirstParagraph"/>
      </w:pPr>
      <w:r>
        <w:t xml:space="preserve">Demystifying AI’s capabilities and limitations from an implementer’s</w:t>
      </w:r>
      <w:r>
        <w:t xml:space="preserve"> </w:t>
      </w:r>
      <w:r>
        <w:t xml:space="preserve">perspective</w:t>
      </w:r>
    </w:p>
    <w:p>
      <w:pPr>
        <w:pStyle w:val="BodyText"/>
      </w:pPr>
      <w:r>
        <w:br/>
      </w:r>
    </w:p>
    <w:bookmarkStart w:id="29" w:name="the-emperors-new-statistics"/>
    <w:p>
      <w:pPr>
        <w:pStyle w:val="Heading2"/>
      </w:pPr>
      <w:r>
        <w:t xml:space="preserve">2.1 The Emperor’s New Statistics</w:t>
      </w:r>
    </w:p>
    <w:p>
      <w:pPr>
        <w:pStyle w:val="FirstParagraph"/>
      </w:pPr>
      <w:r>
        <w:t xml:space="preserve">Artificial intelligence</w:t>
      </w:r>
      <w:r>
        <w:t xml:space="preserve"> </w:t>
      </w:r>
      <w:r>
        <w:t xml:space="preserve">is a broad field which long-time researchers often jokingly define as</w:t>
      </w:r>
      <w:r>
        <w:t xml:space="preserve"> </w:t>
      </w:r>
      <w:r>
        <w:t xml:space="preserve">“anything computers can’t do yet.”</w:t>
      </w:r>
      <w:r>
        <w:t xml:space="preserve"> </w:t>
      </w:r>
      <w:r>
        <w:t xml:space="preserve">From early grammar checkers to chess to facial recognition, many features that are now routine were once considered AI. No doubt the same will eventually be said of the new generation of large language models</w:t>
      </w:r>
      <w:r>
        <w:t xml:space="preserve"> </w:t>
      </w:r>
      <w:r>
        <w:t xml:space="preserve">(LLMs), the more precise term to describe the impressive new tools that include ChatGPT</w:t>
      </w:r>
      <w:r>
        <w:t xml:space="preserve">, Claude, and Gemini.</w:t>
      </w:r>
    </w:p>
    <w:p>
      <w:pPr>
        <w:pStyle w:val="BodyText"/>
      </w:pPr>
      <w:r>
        <w:t xml:space="preserve">Under the hood, these systems are less magical than they first appear. Today’s LLMs are based on a straightforward application of an optimization algorithm called Generative Pre-trained Transformer (GPT) invented by Google</w:t>
      </w:r>
      <w:r>
        <w:t xml:space="preserve"> </w:t>
      </w:r>
      <w:r>
        <w:t xml:space="preserve">researchers in 2017. While the implementation details involve complex mathematics, the core concept is surprisingly simple: predict what words are most likely to come next in a sequence based on patterns observed in vast amounts of text.</w:t>
      </w:r>
    </w:p>
    <w:p>
      <w:pPr>
        <w:pStyle w:val="BodyText"/>
      </w:pPr>
      <w:r>
        <w:t xml:space="preserve">You can think of LLMs as massively optimized and expanded versions of the auto-complete feature your smartphone has offered for years. Instead of proposing the next word or two, these models can generate full sentences, paragraphs, books, and on and on without limit. Their power comes from the GPT optimization that lets them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result is an impressive pattern-matching system that can mimic human-written text with remarkable fidelity—but without the understanding that underlies human communication. When ChatGPT writes a paragraph that sounds like Ernest Hemingway, it’s not channeling Hemingway’s artistic vision or life experiences. It’s generating text based on statistical patterns it observed in Hemingway’s writing and similar texts. The model has no concept of fishing, bullfighting, war, or any other experiences that shaped Hemingway’s distinctive voice. It’s merely producing words that, statistically speaking, are likely to follow one another in a Hemingway-like manner.</w:t>
      </w:r>
    </w:p>
    <w:bookmarkEnd w:id="29"/>
    <w:bookmarkStart w:id="30" w:name="Xdfd30240edd452ed685c274d8ad8de2c21fc370"/>
    <w:p>
      <w:pPr>
        <w:pStyle w:val="Heading2"/>
      </w:pPr>
      <w:r>
        <w:t xml:space="preserve">2.2 One-Way Streets: The Critical Limitation of LLMs</w:t>
      </w:r>
    </w:p>
    <w:p>
      <w:pPr>
        <w:pStyle w:val="FirstParagraph"/>
      </w:pPr>
      <w:r>
        <w:t xml:space="preserve">The GPT algorithm has one critical limitation that explains many of its failures: once set in motion, it cannot backtrack. Humans plan ahead, weigh different scenarios, and can change their minds based on foreseen alternatives. GPTs can only fake this planning ability through their access to mountains of data where such alternatives have already been explored.</w:t>
      </w:r>
    </w:p>
    <w:p>
      <w:pPr>
        <w:pStyle w:val="BodyText"/>
      </w:pPr>
      <w:r>
        <w:t xml:space="preserve">Think of how you would solve a Sudoku puzzle. You might place a number in a cell, then work through several more cells before realizing your initial choice led to a contradiction. No problem—you backtrack, erase the number, and try a different approach. This recursive thinking process is fundamental to human problem-solving. But LLMs cannot do this. They generate text one token at a time, with no ability to revise earlier decisions based on later realizations.</w:t>
      </w:r>
    </w:p>
    <w:p>
      <w:pPr>
        <w:pStyle w:val="BodyText"/>
      </w:pPr>
      <w:r>
        <w:t xml:space="preserve">This limitation explains why LLMs struggle with tasks that humans find relatively straightforward. They cannot do Sudoku, or handle chess positions not covered in their training data</w:t>
      </w:r>
      <w:r>
        <w:t xml:space="preserve">. Similarly, although they may appear to evaluate potential investment scenarios, they are merely generating plausible-sounding text based on patterns they’ve observed in financial discussions. They cannot truly consider alternative futures or change their analysis midstream.</w:t>
      </w:r>
    </w:p>
    <w:p>
      <w:pPr>
        <w:pStyle w:val="BodyText"/>
      </w:pPr>
      <w:r>
        <w:t xml:space="preserve">This lack of genuine reasoning capability is why it would be wise to take AI predictions with considerable caution. Because they have no concept of imagining how a future situation might change current plans, they cannot truly engage in the kind of counterfactual thinking that underpins human judgment</w:t>
      </w:r>
      <w:r>
        <w:t xml:space="preserve">.</w:t>
      </w:r>
    </w:p>
    <w:bookmarkEnd w:id="30"/>
    <w:bookmarkStart w:id="31" w:name="inside-the-training-process"/>
    <w:p>
      <w:pPr>
        <w:pStyle w:val="Heading2"/>
      </w:pPr>
      <w:r>
        <w:t xml:space="preserve">2.3 Inside the Training Process</w:t>
      </w:r>
    </w:p>
    <w:p>
      <w:pPr>
        <w:pStyle w:val="FirstParagraph"/>
      </w:pPr>
      <w:r>
        <w:t xml:space="preserve">LLMs are models that compress vast amounts of human knowledge—written, spoken, images, video—into a format that can generate similar-seeming content when given a starting prompt. Although the final models themselves are small enough to fit on a laptop or smartphone, they are created through a training process that consumes massive amounts of data—virtually everything on the public internet, plus collections of text from millions of books, magazines, academic journals, patent filings, and anything else their creators can find.</w:t>
      </w:r>
    </w:p>
    <w:p>
      <w:pPr>
        <w:pStyle w:val="BodyText"/>
      </w:pPr>
      <w:r>
        <w:t xml:space="preserve">Thanks to the clever, time-saving shortcut discovered in the 2017 GPT algorithm, key parts of the training happen in parallel, limited only by the number of GPUs available. It is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(Compute Unified Device Architecture),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w:t>
      </w:r>
      <w:r>
        <w:t xml:space="preserve">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The statistically most likely way to complete the phrase</w:t>
      </w:r>
      <w:r>
        <w:t xml:space="preserve"> </w:t>
      </w:r>
      <w:r>
        <w:t xml:space="preserve">“what is 1 + 1?”</w:t>
      </w:r>
      <w:r>
        <w:t xml:space="preserve"> </w:t>
      </w:r>
      <w:r>
        <w:t xml:space="preserve">is</w:t>
      </w:r>
      <w:r>
        <w:t xml:space="preserve"> </w:t>
      </w:r>
      <w:r>
        <w:t xml:space="preserve">“2.”</w:t>
      </w:r>
    </w:p>
    <w:p>
      <w:pPr>
        <w:pStyle w:val="BodyText"/>
      </w:pPr>
      <w:r>
        <w:t xml:space="preserve">The final LLM consists of billions of</w:t>
      </w:r>
      <w:r>
        <w:t xml:space="preserve"> </w:t>
      </w:r>
      <w:r>
        <w:t xml:space="preserve">“parameters</w:t>
      </w:r>
      <w:r>
        <w:t xml:space="preserve">,”</w:t>
      </w:r>
      <w:r>
        <w:t xml:space="preserve"> </w:t>
      </w:r>
      <w:r>
        <w:t xml:space="preserve">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(user experience)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bookmarkEnd w:id="31"/>
    <w:bookmarkStart w:id="35" w:name="what-does-the-training-data-include"/>
    <w:p>
      <w:pPr>
        <w:pStyle w:val="Heading2"/>
      </w:pPr>
      <w:r>
        <w:t xml:space="preserve">2.4 What Does the Training Data Include?</w:t>
      </w:r>
    </w:p>
    <w:p>
      <w:pPr>
        <w:pStyle w:val="FirstParagraph"/>
      </w:pPr>
      <w:r>
        <w:t xml:space="preserve">The datasets used to train LLMs are enormous and diverse. OpenAI’s GPT-4, for example, was trained on hundreds of billions of words, including:</w:t>
      </w:r>
    </w:p>
    <w:p>
      <w:pPr>
        <w:pStyle w:val="Compact"/>
        <w:numPr>
          <w:ilvl w:val="0"/>
          <w:numId w:val="1001"/>
        </w:numPr>
      </w:pPr>
      <w:r>
        <w:t xml:space="preserve">The vast majority of the public internet, including websites, forums, and social media</w:t>
      </w:r>
    </w:p>
    <w:p>
      <w:pPr>
        <w:pStyle w:val="Compact"/>
        <w:numPr>
          <w:ilvl w:val="0"/>
          <w:numId w:val="1001"/>
        </w:numPr>
      </w:pPr>
      <w:r>
        <w:t xml:space="preserve">Millions of books, from classic literature to modern non-fiction</w:t>
      </w:r>
    </w:p>
    <w:p>
      <w:pPr>
        <w:pStyle w:val="Compact"/>
        <w:numPr>
          <w:ilvl w:val="0"/>
          <w:numId w:val="1001"/>
        </w:numPr>
      </w:pPr>
      <w:r>
        <w:t xml:space="preserve">Scientific papers and academic journals</w:t>
      </w:r>
    </w:p>
    <w:p>
      <w:pPr>
        <w:pStyle w:val="Compact"/>
        <w:numPr>
          <w:ilvl w:val="0"/>
          <w:numId w:val="1001"/>
        </w:numPr>
      </w:pPr>
      <w:r>
        <w:t xml:space="preserve">Code repositories and technical documentation</w:t>
      </w:r>
    </w:p>
    <w:p>
      <w:pPr>
        <w:pStyle w:val="Compact"/>
        <w:numPr>
          <w:ilvl w:val="0"/>
          <w:numId w:val="1001"/>
        </w:numPr>
      </w:pPr>
      <w:r>
        <w:t xml:space="preserve">News articles and government documents</w:t>
      </w:r>
    </w:p>
    <w:p>
      <w:pPr>
        <w:pStyle w:val="FirstParagraph"/>
      </w:pPr>
      <w:r>
        <w:t xml:space="preserve">This massive corpus allows the model to encounter language used in countless contexts, enabling it to generate text that mimics a wide range of styles and domains. However, this approach also has significant limitations. The training data inevitably contains biases, inaccuracies, and outdated information that get encoded into the model’s parameters. And because the model has no understanding of the content—only statistical patterns—it cannot distinguish between reliable sources and misinformation.</w:t>
      </w:r>
    </w:p>
    <w:p>
      <w:pPr>
        <w:pStyle w:val="BodyText"/>
      </w:pPr>
      <w:r>
        <w:t xml:space="preserve">Furthermore, while the model’s training data is vast, it’s still finite and frozen at a specific point in time. This creates what’s called a</w:t>
      </w:r>
      <w:r>
        <w:t xml:space="preserve"> </w:t>
      </w:r>
      <w:r>
        <w:t xml:space="preserve">“knowledge cutoff”</w:t>
      </w:r>
      <w:r>
        <w:t xml:space="preserve">—a date beyond which the model has no information. Any developments, events, or publications after this date are completely unknown to the model unless specifically provided in the conversation.</w:t>
      </w:r>
    </w:p>
    <w:p>
      <w:pPr>
        <w:pStyle w:val="CaptionedFigure"/>
      </w:pPr>
      <w:r>
        <w:drawing>
          <wp:inline>
            <wp:extent cx="5943600" cy="5428083"/>
            <wp:effectExtent b="0" l="0" r="0" t="0"/>
            <wp:docPr descr="ChatGPT is trained on vast text sources, a distillation of most human knowledge." title="" id="33" name="Picture"/>
            <a:graphic>
              <a:graphicData uri="http://schemas.openxmlformats.org/drawingml/2006/picture">
                <pic:pic>
                  <pic:nvPicPr>
                    <pic:cNvPr descr="_resources/images/Ch02-images/OpenAITrainingDataNYTimesChart.png" id="34" name="Picture"/>
                    <pic:cNvPicPr>
                      <a:picLocks noChangeArrowheads="1" noChangeAspect="1"/>
                    </pic:cNvPicPr>
                  </pic:nvPicPr>
                  <pic:blipFill>
                    <a:blip r:embed="rId32"/>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ChatGPT is trained on vast text sources, a distillation of most human knowledge.</w:t>
      </w:r>
    </w:p>
    <w:bookmarkEnd w:id="35"/>
    <w:bookmarkStart w:id="36" w:name="X4f1969d18ba0948f06b369124b660d0e383a6b3"/>
    <w:p>
      <w:pPr>
        <w:pStyle w:val="Heading2"/>
      </w:pPr>
      <w:r>
        <w:t xml:space="preserve">2.5 Models Learning from Models: The Recursive Training Problem</w:t>
      </w:r>
    </w:p>
    <w:p>
      <w:pPr>
        <w:pStyle w:val="FirstParagraph"/>
      </w:pPr>
      <w:r>
        <w:t xml:space="preserve">An increasingly troubling issue is the growing proportion of AI-generated content on the internet. As LLMs produce more and more text that gets published online, newer models are increasingly training on outputs from older models rather than authentic human expression. This creates a recursive problem—models learning from models learning from models—potentially amplifying biases and errors with each generation.</w:t>
      </w:r>
    </w:p>
    <w:p>
      <w:pPr>
        <w:pStyle w:val="BodyText"/>
      </w:pPr>
      <w:r>
        <w:t xml:space="preserve">Researcher Ilia Shumailov at the University of Cambridge calls this phenomenon</w:t>
      </w:r>
      <w:r>
        <w:t xml:space="preserve"> </w:t>
      </w:r>
      <w:r>
        <w:t xml:space="preserve">“the curse of recursion,”</w:t>
      </w:r>
      <w:r>
        <w:t xml:space="preserve"> </w:t>
      </w:r>
      <w:r>
        <w:t xml:space="preserve">and it presents a fundamental challenge to the current approach of training AI on internet data. As AI-generated content proliferates, distinguishing authentic human expression from synthetic text becomes increasingly difficult. This recursion problem potentially undermines the very foundation of LLM training by gradually diluting the human element in the training data.</w:t>
      </w:r>
    </w:p>
    <w:bookmarkEnd w:id="36"/>
    <w:bookmarkStart w:id="37" w:name="Xf12f956533b873551f170b4b664dc58db10130e"/>
    <w:p>
      <w:pPr>
        <w:pStyle w:val="Heading2"/>
      </w:pPr>
      <w:r>
        <w:t xml:space="preserve">2.6 Beyond Text Completion: Fine-Tuning for Specific Tasks</w:t>
      </w:r>
    </w:p>
    <w:p>
      <w:pPr>
        <w:pStyle w:val="FirstParagraph"/>
      </w:pPr>
      <w:r>
        <w:t xml:space="preserve">While base LLMs are essentially sophisticated text prediction engines, they can be adapted for specific purposes through a process called fine-tuning. This involves additional training on specialized datasets with human feedback to optimize the model for particular tasks or to align its outputs with human values.</w:t>
      </w:r>
    </w:p>
    <w:p>
      <w:pPr>
        <w:pStyle w:val="BodyText"/>
      </w:pPr>
      <w:r>
        <w:t xml:space="preserve">For example, the base GPT model might generate toxic or harmful content if that’s what the statistical patterns in its training data suggest. To address this, OpenAI and other companies employ techniques like RLHF (Reinforcement Learning from Human Feedback), where human evaluators rate different model outputs, and these ratings are used to further train the model to produce more helpful, harmless, and honest responses.</w:t>
      </w:r>
    </w:p>
    <w:p>
      <w:pPr>
        <w:pStyle w:val="BodyText"/>
      </w:pPr>
      <w:r>
        <w:t xml:space="preserve">This fine-tuning process represents a crucial point of human intervention in the AI pipeline. The values and judgments of the human evaluators directly shape what kinds of responses the model will prioritize. However, this process also introduces new challenges, including the potential for evaluator biases to become magnified in the model’s behavior and the difficulty of clearly defining concepts like</w:t>
      </w:r>
      <w:r>
        <w:t xml:space="preserve"> </w:t>
      </w:r>
      <w:r>
        <w:t xml:space="preserve">“helpful”</w:t>
      </w:r>
      <w:r>
        <w:t xml:space="preserve"> </w:t>
      </w:r>
      <w:r>
        <w:t xml:space="preserve">or</w:t>
      </w:r>
      <w:r>
        <w:t xml:space="preserve"> </w:t>
      </w:r>
      <w:r>
        <w:t xml:space="preserve">“harmful”</w:t>
      </w:r>
      <w:r>
        <w:t xml:space="preserve"> </w:t>
      </w:r>
      <w:r>
        <w:t xml:space="preserve">across diverse cultural contexts.</w:t>
      </w:r>
    </w:p>
    <w:bookmarkEnd w:id="37"/>
    <w:bookmarkStart w:id="38" w:name="X002c21182941374514c22e257e613791e9d7d50"/>
    <w:p>
      <w:pPr>
        <w:pStyle w:val="Heading2"/>
      </w:pPr>
      <w:r>
        <w:t xml:space="preserve">2.7 What AI Can’t Do: The Limitations That Matter</w:t>
      </w:r>
    </w:p>
    <w:p>
      <w:pPr>
        <w:pStyle w:val="FirstParagraph"/>
      </w:pPr>
      <w:r>
        <w:t xml:space="preserve">Understanding what LLMs cannot do is as important as appreciating what they can do. Despite their impressive capabilities, today’s AI systems have several fundamental limitations:</w:t>
      </w:r>
    </w:p>
    <w:p>
      <w:pPr>
        <w:numPr>
          <w:ilvl w:val="0"/>
          <w:numId w:val="1002"/>
        </w:numPr>
      </w:pPr>
      <w:r>
        <w:rPr>
          <w:b/>
          <w:bCs/>
        </w:rPr>
        <w:t xml:space="preserve">No Understanding or Consciousness</w:t>
      </w:r>
      <w:r>
        <w:t xml:space="preserve">: LLMs process patterns without understanding meaning. They have no consciousness, beliefs, desires, or intentions. They cannot truly understand concepts like justice, beauty, or truth—they can only mimic how humans talk about these concepts.</w:t>
      </w:r>
    </w:p>
    <w:p>
      <w:pPr>
        <w:numPr>
          <w:ilvl w:val="0"/>
          <w:numId w:val="1002"/>
        </w:numPr>
      </w:pPr>
      <w:r>
        <w:rPr>
          <w:b/>
          <w:bCs/>
        </w:rPr>
        <w:t xml:space="preserve">No Backtracking</w:t>
      </w:r>
      <w:r>
        <w:rPr>
          <w:b/>
          <w:bCs/>
        </w:rPr>
        <w:t xml:space="preserve"> </w:t>
      </w:r>
      <w:r>
        <w:rPr>
          <w:b/>
          <w:bCs/>
        </w:rPr>
        <w:t xml:space="preserve">or Planning</w:t>
      </w:r>
      <w:r>
        <w:t xml:space="preserve">: As mentioned earlier, LLMs cannot revise earlier parts of their generation based on later realizations. They cannot truly plan ahead or engage in the kind of recursive thinking that humans employ naturally.</w:t>
      </w:r>
    </w:p>
    <w:p>
      <w:pPr>
        <w:numPr>
          <w:ilvl w:val="0"/>
          <w:numId w:val="1002"/>
        </w:numPr>
      </w:pPr>
      <w:r>
        <w:rPr>
          <w:b/>
          <w:bCs/>
        </w:rPr>
        <w:t xml:space="preserve">No Reality Grounding</w:t>
      </w:r>
      <w:r>
        <w:t xml:space="preserve">: LLMs have no direct access to physical reality. Their knowledge comes entirely from text and images in their training data, not from embodied experience in the world. They cannot verify facts against reality, only against patterns in their training data.</w:t>
      </w:r>
    </w:p>
    <w:p>
      <w:pPr>
        <w:numPr>
          <w:ilvl w:val="0"/>
          <w:numId w:val="1002"/>
        </w:numPr>
      </w:pPr>
      <w:r>
        <w:rPr>
          <w:b/>
          <w:bCs/>
        </w:rPr>
        <w:t xml:space="preserve">No Self-Improvement</w:t>
      </w:r>
      <w:r>
        <w:t xml:space="preserve">: While LLMs can be updated by their creators, they cannot improve themselves through experience. Each interaction is essentially fresh—the model doesn’t learn from its mistakes or successes across conversations.</w:t>
      </w:r>
    </w:p>
    <w:p>
      <w:pPr>
        <w:numPr>
          <w:ilvl w:val="0"/>
          <w:numId w:val="1002"/>
        </w:numPr>
      </w:pPr>
      <w:r>
        <w:rPr>
          <w:b/>
          <w:bCs/>
        </w:rPr>
        <w:t xml:space="preserve">No Originality</w:t>
      </w:r>
      <w:r>
        <w:t xml:space="preserve">: LLMs can combine and recombine elements from their training data in new ways, but they cannot create truly original concepts. They are fundamentally derivative, limited by what they’ve seen before.</w:t>
      </w:r>
    </w:p>
    <w:p>
      <w:pPr>
        <w:pStyle w:val="FirstParagraph"/>
      </w:pPr>
      <w:r>
        <w:t xml:space="preserve">These limitations explain why LLMs, despite their impressive text generation capabilities, fail at tasks requiring genuine understanding, counterfactual reasoning, or creative leaps beyond their training data.</w:t>
      </w:r>
    </w:p>
    <w:bookmarkEnd w:id="38"/>
    <w:bookmarkStart w:id="39" w:name="Xadc22866a95a3ee99aed5c3ac32a09995cf7a6f"/>
    <w:p>
      <w:pPr>
        <w:pStyle w:val="Heading2"/>
      </w:pPr>
      <w:r>
        <w:t xml:space="preserve">2.8 The Human Element: What We Bring That AI Can’t Replace</w:t>
      </w:r>
    </w:p>
    <w:p>
      <w:pPr>
        <w:pStyle w:val="FirstParagraph"/>
      </w:pPr>
      <w:r>
        <w:t xml:space="preserve">The limitations of LLMs highlight precisely what makes human intelligence distinctive and valuable. When we generate language, solve problems, or make decisions, we do far more than pattern matching. We understand the world through embodied experience, can plan recursively, and can imagine counterfactual scenarios. We can backtrack, revise our thinking, and make creative leaps beyond what we’ve previously encountered.</w:t>
      </w:r>
    </w:p>
    <w:p>
      <w:pPr>
        <w:pStyle w:val="BodyText"/>
      </w:pPr>
      <w:r>
        <w:t xml:space="preserve">Consider how a skilled financial analyst evaluates an investment opportunity. They don’t simply pattern-match against previous investments; they consider unique aspects of the current situation, imagine various future scenarios, and continuously revise their analysis as new information emerges. They bring judgment based on embodied experience in the world—something no LLM can replicate.</w:t>
      </w:r>
    </w:p>
    <w:p>
      <w:pPr>
        <w:pStyle w:val="BodyText"/>
      </w:pPr>
      <w:r>
        <w:t xml:space="preserve">This is why the most effective applications of AI don’t attempt to replace human judgment but rather to enhance it. When AI handles the pattern-matching tasks it excels at, humans are freed to focus on the aspects of work that require judgment, creativity, and understanding.</w:t>
      </w:r>
    </w:p>
    <w:bookmarkEnd w:id="39"/>
    <w:bookmarkStart w:id="40" w:name="the-balance-where-humans-and-ai-excel"/>
    <w:p>
      <w:pPr>
        <w:pStyle w:val="Heading2"/>
      </w:pPr>
      <w:r>
        <w:t xml:space="preserve">2.9 The Balance: Where Humans and AI Excel</w:t>
      </w:r>
    </w:p>
    <w:p>
      <w:pPr>
        <w:pStyle w:val="FirstParagraph"/>
      </w:pPr>
      <w:r>
        <w:t xml:space="preserve">The most successful implementations of AI technology recognize the complementary strengths of humans and machines. AI demonstrates remarkable capability in processing vast amounts of data quickly and identifying patterns across large datasets that would overwhelm human attention. It excels in generating content based on statistical regularities, performing repetitive tasks with unwavering consistency, and operating continuously without the fatigue that limits human performance.</w:t>
      </w:r>
    </w:p>
    <w:p>
      <w:pPr>
        <w:pStyle w:val="BodyText"/>
      </w:pPr>
      <w:r>
        <w:t xml:space="preserve">Humans, meanwhile, bring fundamentally different strengths to the table. We understand context and meaning in ways that transcend statistical correlation. We make ethical judgments that require balancing competing values and considering impacts that may not be quantifiable. Our ability to think recursively and counterfactually—to imagine</w:t>
      </w:r>
      <w:r>
        <w:t xml:space="preserve"> </w:t>
      </w:r>
      <w:r>
        <w:t xml:space="preserve">“what if”</w:t>
      </w:r>
      <w:r>
        <w:t xml:space="preserve"> </w:t>
      </w:r>
      <w:r>
        <w:t xml:space="preserve">scenarios and revise our thinking—allows us to navigate novel situations with a flexibility that AI cannot match. Perhaps most importantly, humans can create truly novel concepts and approaches, and adapt to unprecedented situations by drawing on embodied experience and cross-domain knowledge.</w:t>
      </w:r>
    </w:p>
    <w:p>
      <w:pPr>
        <w:pStyle w:val="BodyText"/>
      </w:pPr>
      <w:r>
        <w:t xml:space="preserve">By designing systems that leverage these complementary capabilities, organizations can achieve outcomes superior to what either humans or AI could accomplish alone. A human financial analyst with AI assistance, for instance, can process market data at unprecedented scale while maintaining the judgment needed to contextualize that data within broader economic and political realities. This synergy of human and artificial intelligence is the essence of the enhancement</w:t>
      </w:r>
      <w:r>
        <w:t xml:space="preserve"> </w:t>
      </w:r>
      <w:r>
        <w:t xml:space="preserve">thesis we explore throughout this book.</w:t>
      </w:r>
    </w:p>
    <w:bookmarkEnd w:id="40"/>
    <w:bookmarkStart w:id="41" w:name="the-implications-why-this-matters"/>
    <w:p>
      <w:pPr>
        <w:pStyle w:val="Heading2"/>
      </w:pPr>
      <w:r>
        <w:t xml:space="preserve">2.10 The Implications: Why This Matters</w:t>
      </w:r>
    </w:p>
    <w:p>
      <w:pPr>
        <w:pStyle w:val="FirstParagraph"/>
      </w:pPr>
      <w:r>
        <w:t xml:space="preserve">Understanding what AI actually does—and what it doesn’t do—has profound implications for how we implement these technologies in business and society. When we recognize that LLMs are essentially sophisticated pattern-matching systems rather than genuinely intelligent entities, we can make more informed decisions about where and how to apply them.</w:t>
      </w:r>
    </w:p>
    <w:p>
      <w:pPr>
        <w:pStyle w:val="BodyText"/>
      </w:pPr>
      <w:r>
        <w:t xml:space="preserve">This understanding helps explain why purely automated approaches often disappoint, while enhancement approaches succeed. Automated systems that attempt to replace human judgment entirely run up against the fundamental limitations of pattern matching. Enhancement approaches that combine AI’s computational power with human judgment and creativity can deliver superior results.</w:t>
      </w:r>
    </w:p>
    <w:p>
      <w:pPr>
        <w:pStyle w:val="BodyText"/>
      </w:pPr>
      <w:r>
        <w:t xml:space="preserve">For investors, this insight suggests focusing on companies that understand the complementary nature of human and artificial intelligence rather than those promising full automation</w:t>
      </w:r>
      <w:r>
        <w:t xml:space="preserve">. For business leaders, it means designing implementation strategies that augment rather than replace human capabilities</w:t>
      </w:r>
      <w:r>
        <w:t xml:space="preserve">. And for workers, it means developing the distinctively human skills that AI cannot replicate.</w:t>
      </w:r>
    </w:p>
    <w:bookmarkEnd w:id="41"/>
    <w:bookmarkStart w:id="42" w:name="where-we-go-from-here"/>
    <w:p>
      <w:pPr>
        <w:pStyle w:val="Heading2"/>
      </w:pPr>
      <w:r>
        <w:t xml:space="preserve">2.11 Where We Go From Here</w:t>
      </w:r>
    </w:p>
    <w:p>
      <w:pPr>
        <w:pStyle w:val="FirstParagraph"/>
      </w:pPr>
      <w:r>
        <w:t xml:space="preserve">As AI technologies continue to advance, the boundary between what they can and cannot do will shift. Future systems will likely overcome some of the limitations we’ve discussed, potentially enabling more sophisticated reasoning and planning. However, the fundamental distinction between statistical pattern matching and genuine understanding remains, and with it, the continued importance of human judgment.</w:t>
      </w:r>
    </w:p>
    <w:p>
      <w:pPr>
        <w:pStyle w:val="BodyText"/>
      </w:pPr>
      <w:r>
        <w:t xml:space="preserve">In the chapters ahead, we’ll explore how this understanding of AI’s capabilities and limitations translates into practical implementation strategies across industries. We’ll examine the</w:t>
      </w:r>
      <w:r>
        <w:t xml:space="preserve"> </w:t>
      </w:r>
      <w:r>
        <w:t xml:space="preserve">“what versus how”</w:t>
      </w:r>
      <w:r>
        <w:t xml:space="preserve"> </w:t>
      </w:r>
      <w:r>
        <w:t xml:space="preserve">distinction that guides effective human-AI collaboration</w:t>
      </w:r>
      <w:r>
        <w:t xml:space="preserve">, the philosophical dimensions of human judgment, and the investment implications of the enhancement thesis.</w:t>
      </w:r>
    </w:p>
    <w:p>
      <w:pPr>
        <w:pStyle w:val="BodyText"/>
      </w:pPr>
      <w:r>
        <w:t xml:space="preserve">By grounding our approach in a clear-eyed understanding of what AI actually does, we can move beyond both the hype and the fear to develop strategies that truly enhance human capabilities rather than attempting to replace them.</w:t>
      </w:r>
    </w:p>
    <w:bookmarkEnd w:id="42"/>
    <w:bookmarkEnd w:id="43"/>
    <w:bookmarkStart w:id="75"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w:t>
      </w:r>
      <w:r>
        <w:t xml:space="preserve"> </w:t>
      </w:r>
      <w:r>
        <w:t xml:space="preserve">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44"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p>
    <w:p>
      <w:pPr>
        <w:pStyle w:val="Compact"/>
        <w:numPr>
          <w:ilvl w:val="0"/>
          <w:numId w:val="1003"/>
        </w:numPr>
      </w:pPr>
      <w:r>
        <w:t xml:space="preserve">Financial analysts who knew how to build complex Excel models</w:t>
      </w:r>
    </w:p>
    <w:p>
      <w:pPr>
        <w:pStyle w:val="Compact"/>
        <w:numPr>
          <w:ilvl w:val="0"/>
          <w:numId w:val="1003"/>
        </w:numPr>
      </w:pPr>
      <w:r>
        <w:t xml:space="preserve">Software engineers who knew how to write code in specific languages</w:t>
      </w:r>
    </w:p>
    <w:p>
      <w:pPr>
        <w:pStyle w:val="Compact"/>
        <w:numPr>
          <w:ilvl w:val="0"/>
          <w:numId w:val="1003"/>
        </w:numPr>
      </w:pPr>
      <w:r>
        <w:t xml:space="preserve">Designers who knew how to use tools like Photoshop</w:t>
      </w:r>
    </w:p>
    <w:p>
      <w:pPr>
        <w:pStyle w:val="Compact"/>
        <w:numPr>
          <w:ilvl w:val="0"/>
          <w:numId w:val="1003"/>
        </w:numPr>
      </w:pPr>
      <w:r>
        <w:t xml:space="preserve">Writers who knew how to craft clear technical documentation</w:t>
      </w:r>
    </w:p>
    <w:p>
      <w:pPr>
        <w:pStyle w:val="Compact"/>
        <w:numPr>
          <w:ilvl w:val="0"/>
          <w:numId w:val="1003"/>
        </w:numPr>
      </w:pPr>
      <w:r>
        <w:t xml:space="preserve">Translators who knew how to convert text between languages</w:t>
      </w:r>
    </w:p>
    <w:p>
      <w:pPr>
        <w:pStyle w:val="FirstParagraph"/>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44"/>
    <w:bookmarkStart w:id="45" w:name="ais-disruption-of-how"/>
    <w:p>
      <w:pPr>
        <w:pStyle w:val="Heading2"/>
      </w:pPr>
      <w:r>
        <w:t xml:space="preserve">3.2 AI’s Disruption of</w:t>
      </w:r>
      <w:r>
        <w:t xml:space="preserve"> </w:t>
      </w:r>
      <w:r>
        <w:t xml:space="preserve">“How”</w:t>
      </w:r>
    </w:p>
    <w:p>
      <w:pPr>
        <w:pStyle w:val="FirstParagraph"/>
      </w:pPr>
      <w:r>
        <w:t xml:space="preserve">Large language models</w:t>
      </w:r>
      <w:r>
        <w:t xml:space="preserve"> </w:t>
      </w:r>
      <w:r>
        <w:t xml:space="preserve">and other AI tools are rapidly getting better at many of these</w:t>
      </w:r>
      <w:r>
        <w:t xml:space="preserve"> </w:t>
      </w:r>
      <w:r>
        <w:t xml:space="preserve">“how”</w:t>
      </w:r>
      <w:r>
        <w:t xml:space="preserve"> </w:t>
      </w:r>
      <w:r>
        <w:t xml:space="preserve">tasks:</w:t>
      </w:r>
    </w:p>
    <w:p>
      <w:pPr>
        <w:pStyle w:val="Compact"/>
        <w:numPr>
          <w:ilvl w:val="0"/>
          <w:numId w:val="1004"/>
        </w:numPr>
      </w:pPr>
      <w:r>
        <w:t xml:space="preserve">ChatGPT</w:t>
      </w:r>
      <w:r>
        <w:t xml:space="preserve"> </w:t>
      </w:r>
      <w:r>
        <w:t xml:space="preserve">can write basic code in multiple languages</w:t>
      </w:r>
    </w:p>
    <w:p>
      <w:pPr>
        <w:pStyle w:val="Compact"/>
        <w:numPr>
          <w:ilvl w:val="0"/>
          <w:numId w:val="1004"/>
        </w:numPr>
      </w:pPr>
      <w:r>
        <w:t xml:space="preserve">Midjourney can generate sophisticated images</w:t>
      </w:r>
    </w:p>
    <w:p>
      <w:pPr>
        <w:pStyle w:val="Compact"/>
        <w:numPr>
          <w:ilvl w:val="0"/>
          <w:numId w:val="1004"/>
        </w:numPr>
      </w:pPr>
      <w:r>
        <w:t xml:space="preserve">Translation tools are approaching human-level quality</w:t>
      </w:r>
    </w:p>
    <w:p>
      <w:pPr>
        <w:pStyle w:val="Compact"/>
        <w:numPr>
          <w:ilvl w:val="0"/>
          <w:numId w:val="1004"/>
        </w:numPr>
      </w:pPr>
      <w:r>
        <w:t xml:space="preserve">AI assistants can create presentations and documentation</w:t>
      </w:r>
    </w:p>
    <w:p>
      <w:pPr>
        <w:pStyle w:val="FirstParagraph"/>
      </w:pPr>
      <w:r>
        <w:t xml:space="preserve">This capability is expanding quickly. Tasks that seemed immune to automation</w:t>
      </w:r>
      <w:r>
        <w:t xml:space="preserve"> </w:t>
      </w:r>
      <w:r>
        <w:t xml:space="preserve">just a few years ago are now being handled competently by AI systems. And unlike human specialists who may take years to master new skills, AI systems can be rapidly retrained or fine-tuned for new capabilities.</w:t>
      </w:r>
    </w:p>
    <w:bookmarkEnd w:id="45"/>
    <w:bookmarkStart w:id="46"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p>
    <w:p>
      <w:pPr>
        <w:pStyle w:val="Compact"/>
        <w:numPr>
          <w:ilvl w:val="0"/>
          <w:numId w:val="1005"/>
        </w:numPr>
      </w:pPr>
      <w:r>
        <w:t xml:space="preserve">What problems are worth solving?</w:t>
      </w:r>
    </w:p>
    <w:p>
      <w:pPr>
        <w:pStyle w:val="Compact"/>
        <w:numPr>
          <w:ilvl w:val="0"/>
          <w:numId w:val="1005"/>
        </w:numPr>
      </w:pPr>
      <w:r>
        <w:t xml:space="preserve">What features should a product include?</w:t>
      </w:r>
    </w:p>
    <w:p>
      <w:pPr>
        <w:pStyle w:val="Compact"/>
        <w:numPr>
          <w:ilvl w:val="0"/>
          <w:numId w:val="1005"/>
        </w:numPr>
      </w:pPr>
      <w:r>
        <w:t xml:space="preserve">What markets should a company enter?</w:t>
      </w:r>
    </w:p>
    <w:p>
      <w:pPr>
        <w:pStyle w:val="Compact"/>
        <w:numPr>
          <w:ilvl w:val="0"/>
          <w:numId w:val="1005"/>
        </w:numPr>
      </w:pPr>
      <w:r>
        <w:t xml:space="preserve">What strategies will create sustainable advantages?</w:t>
      </w:r>
    </w:p>
    <w:p>
      <w:pPr>
        <w:pStyle w:val="Compact"/>
        <w:numPr>
          <w:ilvl w:val="0"/>
          <w:numId w:val="1005"/>
        </w:numPr>
      </w:pPr>
      <w:r>
        <w:t xml:space="preserve">What metrics matter most for success?</w:t>
      </w:r>
    </w:p>
    <w:p>
      <w:pPr>
        <w:pStyle w:val="FirstParagraph"/>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w:t>
      </w:r>
      <w:r>
        <w:rPr>
          <w:b/>
          <w:bCs/>
        </w:rPr>
        <w:t xml:space="preserve"> </w:t>
      </w:r>
      <w:r>
        <w:rPr>
          <w:b/>
          <w:bCs/>
        </w:rPr>
        <w:t xml:space="preserve">Across Domains</w:t>
      </w:r>
      <w:r>
        <w:t xml:space="preserve"> Humans can notice subtle patterns and draw insights across seemingly unrelated fields. A business leader might see parallels between consumer behavior in fashion and trends in enterprise software, leading to novel strategic insights. Current AI</w:t>
      </w:r>
      <w:r>
        <w:t xml:space="preserve"> </w:t>
      </w:r>
      <w:r>
        <w:t xml:space="preserve">systems, despite their broad training, struggle to make these creative connections in meaningful ways.</w:t>
      </w:r>
    </w:p>
    <w:p>
      <w:pPr>
        <w:pStyle w:val="BodyText"/>
      </w:pPr>
      <w:r>
        <w:rPr>
          <w:b/>
          <w:bCs/>
        </w:rPr>
        <w:t xml:space="preserve">Judgment Under Uncertainty</w:t>
      </w:r>
      <w:r>
        <w:t xml:space="preserve"> 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46"/>
    <w:bookmarkStart w:id="49"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47" w:name="X79298a040271b55967109bf3225ac97c780e38f"/>
    <w:p>
      <w:pPr>
        <w:pStyle w:val="Heading3"/>
      </w:pPr>
      <w:r>
        <w:t xml:space="preserve">3.4.1 ChatGPT and Chess: The What vs. How Divide</w:t>
      </w:r>
    </w:p>
    <w:p>
      <w:pPr>
        <w:pStyle w:val="FirstParagraph"/>
      </w:pPr>
      <w:r>
        <w:t xml:space="preserve">ChatGPT excels at the</w:t>
      </w:r>
      <w:r>
        <w:t xml:space="preserve"> </w:t>
      </w:r>
      <w:r>
        <w:t xml:space="preserve">“how”</w:t>
      </w:r>
      <w:r>
        <w:t xml:space="preserve"> </w:t>
      </w:r>
      <w:r>
        <w:t xml:space="preserve">aspects of chess. It can explain rules with precise clarity, describe tactical motifs like forks and pins, recommend standard opening principles, and even execute move sequences when prompted. This</w:t>
      </w:r>
      <w:r>
        <w:t xml:space="preserve"> </w:t>
      </w:r>
      <w:r>
        <w:t xml:space="preserve">“how”</w:t>
      </w:r>
      <w:r>
        <w:t xml:space="preserve"> </w:t>
      </w:r>
      <w:r>
        <w:t xml:space="preserve">capability stems from its training on countless chess books, articles, and game annotations, allowing it to mimic the instructional patterns of chess literature.</w:t>
      </w:r>
    </w:p>
    <w:p>
      <w:pPr>
        <w:pStyle w:val="BodyText"/>
      </w:pPr>
      <w:r>
        <w:t xml:space="preserve">Where ChatGPT fundamentally falls short is in the</w:t>
      </w:r>
      <w:r>
        <w:t xml:space="preserve"> </w:t>
      </w:r>
      <w:r>
        <w:t xml:space="preserve">“what”</w:t>
      </w:r>
      <w:r>
        <w:t xml:space="preserve"> </w:t>
      </w:r>
      <w:r>
        <w:t xml:space="preserve">domain of chess. It cannot determine what strategic approach makes sense in a complex position, what long-term plan to pursue, or what the most critical elements of a position are. Even more fundamentally, ChatGPT cannot decide what it means to</w:t>
      </w:r>
      <w:r>
        <w:t xml:space="preserve"> </w:t>
      </w:r>
      <w:r>
        <w:t xml:space="preserve">“play chess well”</w:t>
      </w:r>
      <w:r>
        <w:t xml:space="preserve"> </w:t>
      </w:r>
      <w:r>
        <w:t xml:space="preserve">in the first place.</w:t>
      </w:r>
    </w:p>
    <w:p>
      <w:pPr>
        <w:pStyle w:val="BodyText"/>
      </w:pPr>
      <w:r>
        <w:t xml:space="preserve">Consider a simple example: in a given position, should a player sacrifice material for an attack? This decision requires weighing potential attacking chances against concrete defensive resources - a judgment that integrates evaluation of multiple possible futures. ChatGPT can explain how sacrifices work in general, but cannot reliably determine what sacrifice (if any) is appropriate in a specific complex position.</w:t>
      </w:r>
    </w:p>
    <w:p>
      <w:pPr>
        <w:pStyle w:val="BodyText"/>
      </w:pPr>
      <w:r>
        <w:t xml:space="preserve">Even more telling is ChatGPT’s inability to set appropriate chess goals. A human must instruct the AI to</w:t>
      </w:r>
      <w:r>
        <w:t xml:space="preserve"> </w:t>
      </w:r>
      <w:r>
        <w:t xml:space="preserve">“find checkmate in two moves”</w:t>
      </w:r>
      <w:r>
        <w:t xml:space="preserve"> </w:t>
      </w:r>
      <w:r>
        <w:t xml:space="preserve">or</w:t>
      </w:r>
      <w:r>
        <w:t xml:space="preserve"> </w:t>
      </w:r>
      <w:r>
        <w:t xml:space="preserve">“evaluate this position”</w:t>
      </w:r>
      <w:r>
        <w:t xml:space="preserve"> </w:t>
      </w:r>
      <w:r>
        <w:t xml:space="preserve">or</w:t>
      </w:r>
      <w:r>
        <w:t xml:space="preserve"> </w:t>
      </w:r>
      <w:r>
        <w:t xml:space="preserve">“recommend an opening for a beginner.”</w:t>
      </w:r>
      <w:r>
        <w:t xml:space="preserve"> </w:t>
      </w:r>
      <w:r>
        <w:t xml:space="preserve">The AI cannot independently determine what chess problems are worth solving or what chess knowledge would benefit a particular player. It lacks the purposeful orientation that human players naturally bring to the game.</w:t>
      </w:r>
    </w:p>
    <w:p>
      <w:pPr>
        <w:pStyle w:val="BodyText"/>
      </w:pPr>
      <w:r>
        <w:t xml:space="preserve">This mirrors the broader pattern we’ve observed across domains. AI systems like ChatGPT handle the mechanics - the</w:t>
      </w:r>
      <w:r>
        <w:t xml:space="preserve"> </w:t>
      </w:r>
      <w:r>
        <w:t xml:space="preserve">“how”</w:t>
      </w:r>
      <w:r>
        <w:t xml:space="preserve"> </w:t>
      </w:r>
      <w:r>
        <w:t xml:space="preserve">- with impressive competence. But they remain tools awaiting human direction regarding</w:t>
      </w:r>
      <w:r>
        <w:t xml:space="preserve"> </w:t>
      </w:r>
      <w:r>
        <w:t xml:space="preserve">“what”</w:t>
      </w:r>
      <w:r>
        <w:t xml:space="preserve"> </w:t>
      </w:r>
      <w:r>
        <w:t xml:space="preserve">goals to pursue,</w:t>
      </w:r>
      <w:r>
        <w:t xml:space="preserve"> </w:t>
      </w:r>
      <w:r>
        <w:t xml:space="preserve">“what”</w:t>
      </w:r>
      <w:r>
        <w:t xml:space="preserve"> </w:t>
      </w:r>
      <w:r>
        <w:t xml:space="preserve">problems need solving, and</w:t>
      </w:r>
      <w:r>
        <w:t xml:space="preserve"> </w:t>
      </w:r>
      <w:r>
        <w:t xml:space="preserve">“what”</w:t>
      </w:r>
      <w:r>
        <w:t xml:space="preserve"> </w:t>
      </w:r>
      <w:r>
        <w:t xml:space="preserve">considerations matter most in any given context.</w:t>
      </w:r>
    </w:p>
    <w:p>
      <w:pPr>
        <w:pStyle w:val="BodyText"/>
      </w:pPr>
      <w:r>
        <w:t xml:space="preserve">For chess learners, this creates an interesting dynamic. ChatGPT can serve as an always-available resource for understanding</w:t>
      </w:r>
      <w:r>
        <w:t xml:space="preserve"> </w:t>
      </w:r>
      <w:r>
        <w:t xml:space="preserve">“how”</w:t>
      </w:r>
      <w:r>
        <w:t xml:space="preserve"> </w:t>
      </w:r>
      <w:r>
        <w:t xml:space="preserve">chess pieces move,</w:t>
      </w:r>
      <w:r>
        <w:t xml:space="preserve"> </w:t>
      </w:r>
      <w:r>
        <w:t xml:space="preserve">“how”</w:t>
      </w:r>
      <w:r>
        <w:t xml:space="preserve"> </w:t>
      </w:r>
      <w:r>
        <w:t xml:space="preserve">to execute basic tactics, and</w:t>
      </w:r>
      <w:r>
        <w:t xml:space="preserve"> </w:t>
      </w:r>
      <w:r>
        <w:t xml:space="preserve">“how”</w:t>
      </w:r>
      <w:r>
        <w:t xml:space="preserve"> </w:t>
      </w:r>
      <w:r>
        <w:t xml:space="preserve">traditional openings proceed. But determining</w:t>
      </w:r>
      <w:r>
        <w:t xml:space="preserve"> </w:t>
      </w:r>
      <w:r>
        <w:t xml:space="preserve">“what”</w:t>
      </w:r>
      <w:r>
        <w:t xml:space="preserve"> </w:t>
      </w:r>
      <w:r>
        <w:t xml:space="preserve">to study,</w:t>
      </w:r>
      <w:r>
        <w:t xml:space="preserve"> </w:t>
      </w:r>
      <w:r>
        <w:t xml:space="preserve">“what”</w:t>
      </w:r>
      <w:r>
        <w:t xml:space="preserve"> </w:t>
      </w:r>
      <w:r>
        <w:t xml:space="preserve">skills to prioritize, and</w:t>
      </w:r>
      <w:r>
        <w:t xml:space="preserve"> </w:t>
      </w:r>
      <w:r>
        <w:t xml:space="preserve">“what”</w:t>
      </w:r>
      <w:r>
        <w:t xml:space="preserve"> </w:t>
      </w:r>
      <w:r>
        <w:t xml:space="preserve">strategic approaches align with one’s strengths - these remain distinctly human judgments that no current AI can meaningfully address.</w:t>
      </w:r>
    </w:p>
    <w:p>
      <w:pPr>
        <w:pStyle w:val="BodyText"/>
      </w:pPr>
      <w:r>
        <w:t xml:space="preserve">The limitations become even more apparent in competitive contexts. Strong human players know that chess is not merely about following rules and recognizing patterns - it’s about making judgments under uncertainty, having a coherent vision of how the game should develop, and understanding which factors deserve attention in ambiguous positions. These</w:t>
      </w:r>
      <w:r>
        <w:t xml:space="preserve"> </w:t>
      </w:r>
      <w:r>
        <w:t xml:space="preserve">“what”</w:t>
      </w:r>
      <w:r>
        <w:t xml:space="preserve"> </w:t>
      </w:r>
      <w:r>
        <w:t xml:space="preserve">decisions remain beyond ChatGPT’s capabilities, even as it continues to improve at describing</w:t>
      </w:r>
      <w:r>
        <w:t xml:space="preserve"> </w:t>
      </w:r>
      <w:r>
        <w:t xml:space="preserve">“how”</w:t>
      </w:r>
      <w:r>
        <w:t xml:space="preserve"> </w:t>
      </w:r>
      <w:r>
        <w:t xml:space="preserve">chess concepts work in isolation.</w:t>
      </w:r>
    </w:p>
    <w:p>
      <w:pPr>
        <w:pStyle w:val="BodyText"/>
      </w:pPr>
      <w:r>
        <w:t xml:space="preserve">As AI capabilities advance, this fundamental divide persists. The most valuable human contribution isn’t executing the mechanical aspects of chess, but rather making the judgment calls about what matters, what deserves attention, and what goals are worth pursuing in the first place.</w:t>
      </w:r>
    </w:p>
    <w:bookmarkEnd w:id="47"/>
    <w:bookmarkStart w:id="48" w:name="book-writing-when-bulldozers-move-words"/>
    <w:p>
      <w:pPr>
        <w:pStyle w:val="Heading3"/>
      </w:pPr>
      <w:r>
        <w:t xml:space="preserve">3.4.2 Book-Writing: When Bulldozers Move Words</w:t>
      </w:r>
    </w:p>
    <w:p>
      <w:pPr>
        <w:pStyle w:val="FirstParagraph"/>
      </w:pPr>
      <w:r>
        <w:t xml:space="preserve">What’s the value of traditional books when ChatGPT can generate coherent answers to any question?</w:t>
      </w:r>
    </w:p>
    <w:p>
      <w:pPr>
        <w:pStyle w:val="BodyText"/>
      </w:pPr>
      <w:r>
        <w:t xml:space="preserve">A good analogy is with construction projects.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w:t>
      </w:r>
      <w:r>
        <w:t xml:space="preserve">.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w:t>
      </w:r>
      <w:r>
        <w:t xml:space="preserve"> </w:t>
      </w:r>
      <w:r>
        <w:t xml:space="preserve">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w:t>
      </w:r>
      <w:r>
        <w:t xml:space="preserve">. The greatest rewards of authorship, as in many professional fields, will accrue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48"/>
    <w:bookmarkEnd w:id="49"/>
    <w:bookmarkStart w:id="53" w:name="more-examples"/>
    <w:p>
      <w:pPr>
        <w:pStyle w:val="Heading2"/>
      </w:pPr>
      <w:r>
        <w:t xml:space="preserve">3.5 More examples</w:t>
      </w:r>
    </w:p>
    <w:bookmarkStart w:id="50" w:name="Xda3d22083a5e605df5dfa87769aa6e90391c264"/>
    <w:p>
      <w:pPr>
        <w:pStyle w:val="Heading3"/>
      </w:pPr>
      <w:r>
        <w:t xml:space="preserve">3.5.1 Software Development</w:t>
      </w:r>
      <w:r>
        <w:t xml:space="preserve">: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Think of a typical software project. Traditional development required writing every line of code manually, like building a house brick by brick. Now, AI coding assistants like GitHub Copilot or Amazon</w:t>
      </w:r>
      <w:r>
        <w:t xml:space="preserve"> </w:t>
      </w:r>
      <w:r>
        <w:t xml:space="preserve">CodeWhisperer can generate entire functions or modules automatically, similar to how prefabricated components accelerated construction. These AI tools excel at producing standard elements - authentication systems, database queries, API endpoints - just as manufacturing</w:t>
      </w:r>
      <w:r>
        <w:t xml:space="preserve"> </w:t>
      </w:r>
      <w:r>
        <w:t xml:space="preserve">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w:t>
      </w:r>
      <w:r>
        <w:t xml:space="preserve"> </w:t>
      </w:r>
      <w:r>
        <w:t xml:space="preserve">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 AI working alone can be competent at creating an adequate building that meets the programmatic requirements laid out by its developers, but a truly great building will still require human input and humans’ ability to push the frontier of creativity.</w:t>
      </w:r>
    </w:p>
    <w:p>
      <w:pPr>
        <w:pStyle w:val="BodyText"/>
      </w:pPr>
      <w:r>
        <w:t xml:space="preserve">This suggests that software development is entering a new phase where success depends on effectively combining AI capabilities with human insight. Here again, the best outcomes will result from humans’ ability to leverage AI. The winners will be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50"/>
    <w:bookmarkStart w:id="51"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Let’s think of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Automation did not eliminate the need for skilled manufacturing workers but changed their role, and AI will not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Analysts who can best understand business fundamentals while using AI will perform better than those who can merely process data faster.</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51"/>
    <w:bookmarkStart w:id="52" w:name="X46b7ea0e4e076594aeec030d6837ffb322c252a"/>
    <w:p>
      <w:pPr>
        <w:pStyle w:val="Heading3"/>
      </w:pPr>
      <w:r>
        <w:t xml:space="preserve">3.5.3 AI and Healthcare</w:t>
      </w:r>
      <w:r>
        <w:t xml:space="preserv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Effective quality control requires understanding how products will be used in real-world conditions, and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In the same way that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Automation did not eliminate the need for skilled quality control technicians but changed their role, and AI will not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Quality control requires human oversight despite advanced inspection technology, and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Those who can understand patient needs while using AI to enhance this understanding will reap more rewards than those who can merely recall the most medical facts and procedures.</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52"/>
    <w:bookmarkEnd w:id="53"/>
    <w:bookmarkStart w:id="54" w:name="investment-implications"/>
    <w:p>
      <w:pPr>
        <w:pStyle w:val="Heading2"/>
      </w:pPr>
      <w:r>
        <w:t xml:space="preserve">3.6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7"/>
        </w:numPr>
      </w:pPr>
      <w:r>
        <w:t xml:space="preserve">Develop tools that enhance human strategic thinking rather than merely automating implementation tasks.</w:t>
      </w:r>
    </w:p>
    <w:p>
      <w:pPr>
        <w:pStyle w:val="Compact"/>
        <w:numPr>
          <w:ilvl w:val="0"/>
          <w:numId w:val="1007"/>
        </w:numPr>
      </w:pPr>
      <w:r>
        <w:t xml:space="preserve">Create platforms that facilitate seamless collaboration between human judgment and AI execution.</w:t>
      </w:r>
    </w:p>
    <w:p>
      <w:pPr>
        <w:pStyle w:val="Compact"/>
        <w:numPr>
          <w:ilvl w:val="0"/>
          <w:numId w:val="1007"/>
        </w:numPr>
      </w:pPr>
      <w:r>
        <w:t xml:space="preserve">Build solutions that maintain appropriate human oversight while leveraging AI capabilities.</w:t>
      </w:r>
    </w:p>
    <w:p>
      <w:pPr>
        <w:pStyle w:val="Compact"/>
        <w:numPr>
          <w:ilvl w:val="0"/>
          <w:numId w:val="1007"/>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w:t>
      </w:r>
      <w:r>
        <w:t xml:space="preserve">, allowing people to focus on the high-value what 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54"/>
    <w:bookmarkStart w:id="55" w:name="the-evolution-of-knowledge-work"/>
    <w:p>
      <w:pPr>
        <w:pStyle w:val="Heading2"/>
      </w:pPr>
      <w:r>
        <w:t xml:space="preserve">3.7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55"/>
    <w:bookmarkStart w:id="56" w:name="integration-with-enhancement-thesis"/>
    <w:p>
      <w:pPr>
        <w:pStyle w:val="Heading2"/>
      </w:pPr>
      <w:r>
        <w:t xml:space="preserve">3.8 Integration with Enhancement</w:t>
      </w:r>
      <w:r>
        <w:t xml:space="preserve"> </w:t>
      </w:r>
      <w:r>
        <w:t xml:space="preserve">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w:t>
      </w:r>
      <w:r>
        <w:t xml:space="preserve"> </w:t>
      </w:r>
      <w:r>
        <w:t xml:space="preserve">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 what matters cannot be delegated to automated systems.</w:t>
      </w:r>
    </w:p>
    <w:p>
      <w:pPr>
        <w:pStyle w:val="BodyText"/>
      </w:pPr>
      <w:r>
        <w:t xml:space="preserve">In the case of full self-driving technology, which we’ll explore more fully in later chapters, companies like Tesla</w:t>
      </w:r>
      <w:r>
        <w:t xml:space="preserve"> </w:t>
      </w:r>
      <w:r>
        <w:t xml:space="preserve">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56"/>
    <w:bookmarkStart w:id="62" w:name="conclusion-navigating-the-transformation"/>
    <w:p>
      <w:pPr>
        <w:pStyle w:val="Heading2"/>
      </w:pPr>
      <w:r>
        <w:t xml:space="preserve">3.9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 what 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w:t>
      </w:r>
      <w:r>
        <w:t xml:space="preserv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tbl>
      <w:tblPr>
        <w:tblStyle w:val="Table"/>
        <w:tblW w:type="pct" w:w="5000"/>
        <w:tblLayout w:type="fixed"/>
        <w:tblLook w:firstRow="0" w:lastRow="0" w:firstColumn="0" w:lastColumn="0" w:noHBand="0" w:noVBand="0" w:val="0000"/>
      </w:tblPr>
      <w:tblGrid>
        <w:gridCol w:w="7920"/>
      </w:tblGrid>
      <w:tr>
        <w:tc>
          <w:tcPr/>
          <w:bookmarkStart w:id="61" w:name="fig-what-how-matrix"/>
          <w:p>
            <w:pPr>
              <w:pStyle w:val="Compact"/>
              <w:jc w:val="center"/>
            </w:pPr>
            <w:r>
              <w:drawing>
                <wp:inline>
                  <wp:extent cx="5646420" cy="4940617"/>
                  <wp:effectExtent b="0" l="0" r="0" t="0"/>
                  <wp:docPr descr="" title="" id="58" name="Picture"/>
                  <a:graphic>
                    <a:graphicData uri="http://schemas.openxmlformats.org/drawingml/2006/picture">
                      <pic:pic>
                        <pic:nvPicPr>
                          <pic:cNvPr descr="_resources/images/Ch03-images/what-how-matrix.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646420" cy="49406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What-How Matrix</w:t>
            </w:r>
          </w:p>
          <w:bookmarkEnd w:id="61"/>
        </w:tc>
      </w:tr>
    </w:tbl>
    <w:bookmarkEnd w:id="62"/>
    <w:bookmarkStart w:id="63"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w:t>
      </w:r>
      <w:r>
        <w:t xml:space="preserve">,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p>
      <w:pPr>
        <w:pStyle w:val="BodyText"/>
      </w:pPr>
      <w:r>
        <w:t xml:space="preserve">Until the arrival of generative AI</w:t>
      </w:r>
      <w:r>
        <w:t xml:space="preserve">,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 </w:t>
      </w:r>
      <w:r>
        <w:rPr>
          <w:i/>
          <w:iCs/>
        </w:rPr>
        <w:t xml:space="preserve">what</w:t>
      </w:r>
      <w:r>
        <w:t xml:space="preserve"> needed to be done.</w:t>
      </w:r>
    </w:p>
    <w:p>
      <w:pPr>
        <w:pStyle w:val="BodyText"/>
      </w:pPr>
      <w:r>
        <w:t xml:space="preserve">In traditional organizational hierarchies, executives and managers typically decide </w:t>
      </w:r>
      <w:r>
        <w:rPr>
          <w:i/>
          <w:iCs/>
        </w:rPr>
        <w:t xml:space="preserve">what</w:t>
      </w:r>
      <w:r>
        <w:t xml:space="preserve"> initiatives to pursue, while specialized knowledge workers determine </w:t>
      </w:r>
      <w:r>
        <w:rPr>
          <w:i/>
          <w:iCs/>
        </w:rPr>
        <w:t xml:space="preserve">how</w:t>
      </w:r>
      <w:r>
        <w:t xml:space="preserve"> to execute them. This division has historically functioned efficiently because </w:t>
      </w:r>
      <w:r>
        <w:rPr>
          <w:i/>
          <w:iCs/>
        </w:rPr>
        <w:t xml:space="preserve">how</w:t>
      </w:r>
      <w:r>
        <w:t xml:space="preserve"> expertise—whether in financial modeling, software development, or content creation</w:t>
      </w:r>
      <w:r>
        <w:t xml:space="preserve">—required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 </w:t>
      </w:r>
      <w:r>
        <w:rPr>
          <w:i/>
          <w:iCs/>
        </w:rPr>
        <w:t xml:space="preserve">how</w:t>
      </w:r>
      <w:r>
        <w:t xml:space="preserve">—the execution of well-defined tasks within established parameters.</w:t>
      </w:r>
    </w:p>
    <w:p>
      <w:pPr>
        <w:pStyle w:val="BodyText"/>
      </w:pPr>
      <w:r>
        <w:t xml:space="preserve">What these systems cannot do—and what remains uniquely human—is determine </w:t>
      </w:r>
      <w:r>
        <w:rPr>
          <w:i/>
          <w:iCs/>
        </w:rPr>
        <w:t xml:space="preserve">what</w:t>
      </w:r>
      <w:r>
        <w:t xml:space="preserve"> is worth doing in the first place. They cannot independently identify which problems merit attention, which strategies align with organizational values, or which approaches will resonate with stakeholders. They lack the contextual understanding</w:t>
      </w:r>
      <w:r>
        <w:t xml:space="preserve">, ethical framework, and strategic vision required to make these determinations.</w:t>
      </w:r>
    </w:p>
    <w:p>
      <w:pPr>
        <w:pStyle w:val="BodyText"/>
      </w:pPr>
      <w:r>
        <w:t xml:space="preserve">As noted already, the financial analyst traditionally created value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 </w:t>
      </w:r>
      <w:r>
        <w:rPr>
          <w:i/>
          <w:iCs/>
        </w:rPr>
        <w:t xml:space="preserve">how</w:t>
      </w:r>
      <w:r>
        <w:t xml:space="preserve">—becomes commoditized, while judgment about </w:t>
      </w:r>
      <w:r>
        <w:rPr>
          <w:i/>
          <w:iCs/>
        </w:rPr>
        <w:t xml:space="preserve">what</w:t>
      </w:r>
      <w:r>
        <w:t xml:space="preserve"> to analyze becomes the primary value driver.</w:t>
      </w:r>
    </w:p>
    <w:p>
      <w:pPr>
        <w:pStyle w:val="BodyText"/>
      </w:pPr>
      <w:r>
        <w:t xml:space="preserve">This pattern repeats across knowledge work domains. In marketing</w:t>
      </w:r>
      <w:r>
        <w:t xml:space="preserve">,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63"/>
    <w:bookmarkStart w:id="64" w:name="philosophical-dimensions-of-the-divide"/>
    <w:p>
      <w:pPr>
        <w:pStyle w:val="Heading2"/>
      </w:pPr>
      <w:r>
        <w:t xml:space="preserve">3.11 Philosophical Dimensions of the Divide</w:t>
      </w:r>
    </w:p>
    <w:p>
      <w:pPr>
        <w:pStyle w:val="FirstParagraph"/>
      </w:pPr>
      <w:r>
        <w:t xml:space="preserve">The what-how divide resonates with deeper philosophical questions about the nature of intelligence and agency. Martin Heidegger</w:t>
      </w:r>
      <w:r>
        <w:t xml:space="preserve">,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w:t>
      </w:r>
      <w:r>
        <w:t xml:space="preserve">,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64"/>
    <w:bookmarkStart w:id="68" w:name="case-studies-the-divide-in-practice"/>
    <w:p>
      <w:pPr>
        <w:pStyle w:val="Heading2"/>
      </w:pPr>
      <w:r>
        <w:t xml:space="preserve">3.12 Case Studies: The Divide in Practice</w:t>
      </w:r>
    </w:p>
    <w:p>
      <w:pPr>
        <w:pStyle w:val="FirstParagraph"/>
      </w:pPr>
      <w:r>
        <w:t xml:space="preserve">To illustrate the what-how divide, let’s examine several domains where this transformation is particularly evident:</w:t>
      </w:r>
    </w:p>
    <w:bookmarkStart w:id="65" w:name="software-development"/>
    <w:p>
      <w:pPr>
        <w:pStyle w:val="Heading3"/>
      </w:pPr>
      <w:r>
        <w:t xml:space="preserve">3.12.1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65"/>
    <w:bookmarkStart w:id="66" w:name="content-creation"/>
    <w:p>
      <w:pPr>
        <w:pStyle w:val="Heading3"/>
      </w:pPr>
      <w:r>
        <w:t xml:space="preserve">3.12.2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w:t>
      </w:r>
      <w:r>
        <w:t xml:space="preserve">’s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66"/>
    <w:bookmarkStart w:id="67" w:name="healthcare"/>
    <w:p>
      <w:pPr>
        <w:pStyle w:val="Heading3"/>
      </w:pPr>
      <w:r>
        <w:t xml:space="preserve">3.12.3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67"/>
    <w:bookmarkEnd w:id="68"/>
    <w:bookmarkStart w:id="69" w:name="the-competitive-dynamics-of-the-divide"/>
    <w:p>
      <w:pPr>
        <w:pStyle w:val="Heading2"/>
      </w:pPr>
      <w:r>
        <w:t xml:space="preserve">3.13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w:t>
      </w:r>
      <w:r>
        <w:t xml:space="preserve">,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r>
        <w:t xml:space="preserve">.</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69"/>
    <w:bookmarkStart w:id="70" w:name="organizational-implications"/>
    <w:p>
      <w:pPr>
        <w:pStyle w:val="Heading2"/>
      </w:pPr>
      <w:r>
        <w:t xml:space="preserve">3.14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w:t>
      </w:r>
      <w:r>
        <w:t xml:space="preserve">.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70"/>
    <w:bookmarkStart w:id="71" w:name="investment-implications-1"/>
    <w:p>
      <w:pPr>
        <w:pStyle w:val="Heading2"/>
      </w:pPr>
      <w:r>
        <w:t xml:space="preserve">3.15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8"/>
        </w:numPr>
      </w:pPr>
      <w:r>
        <w:t xml:space="preserve">Develop tools that enhance human strategic thinking rather than merely automating implementation tasks.</w:t>
      </w:r>
    </w:p>
    <w:p>
      <w:pPr>
        <w:pStyle w:val="Compact"/>
        <w:numPr>
          <w:ilvl w:val="0"/>
          <w:numId w:val="1008"/>
        </w:numPr>
      </w:pPr>
      <w:r>
        <w:t xml:space="preserve">Create platforms that facilitate seamless collaboration between human judgment and AI execution.</w:t>
      </w:r>
    </w:p>
    <w:p>
      <w:pPr>
        <w:pStyle w:val="Compact"/>
        <w:numPr>
          <w:ilvl w:val="0"/>
          <w:numId w:val="1008"/>
        </w:numPr>
      </w:pPr>
      <w:r>
        <w:t xml:space="preserve">Build solutions that maintain appropriate human oversight while leveraging AI capabilities.</w:t>
      </w:r>
    </w:p>
    <w:p>
      <w:pPr>
        <w:pStyle w:val="Compact"/>
        <w:numPr>
          <w:ilvl w:val="0"/>
          <w:numId w:val="1008"/>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71"/>
    <w:bookmarkStart w:id="72" w:name="the-evolution-of-knowledge-work-1"/>
    <w:p>
      <w:pPr>
        <w:pStyle w:val="Heading2"/>
      </w:pPr>
      <w:r>
        <w:t xml:space="preserve">3.16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72"/>
    <w:bookmarkStart w:id="73" w:name="integration-with-enhancement-thesis-1"/>
    <w:p>
      <w:pPr>
        <w:pStyle w:val="Heading2"/>
      </w:pPr>
      <w:r>
        <w:t xml:space="preserve">3.17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In the case of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73"/>
    <w:bookmarkStart w:id="74" w:name="X3d9426bdd025d8adb4164647223812eff1466b6"/>
    <w:p>
      <w:pPr>
        <w:pStyle w:val="Heading2"/>
      </w:pPr>
      <w:r>
        <w:t xml:space="preserve">3.18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74"/>
    <w:bookmarkEnd w:id="75"/>
    <w:bookmarkStart w:id="85"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explore the philosophical underpinnings of intelligence itself. This requires venturing beyond the dominant analytical tradition of Anglo-American philosophy—with its focus on logic, language, and computation—into Continental philosophy, where thinkers like Martin Heidegger</w:t>
      </w:r>
      <w:r>
        <w:t xml:space="preserve">, Maurice Merleau-Ponty, and Jean-Paul Sartre grappled more directly with questions of being, consciousness, and embodied existence.</w:t>
      </w:r>
    </w:p>
    <w:p>
      <w:pPr>
        <w:pStyle w:val="BodyText"/>
      </w:pPr>
      <w:r>
        <w:t xml:space="preserve">The prevailing narrative of artificial intelligence</w:t>
      </w:r>
      <w:r>
        <w:t xml:space="preserve"> </w:t>
      </w:r>
      <w:r>
        <w:t xml:space="preserve">rests on a fundamental assumption inherited from Descartes: that intelligence is essentially computational. Descartes’ famous declaration,</w:t>
      </w:r>
      <w:r>
        <w:t xml:space="preserve"> </w:t>
      </w:r>
      <w:r>
        <w:t xml:space="preserve">“I think, therefore I am,”</w:t>
      </w:r>
      <w:r>
        <w:t xml:space="preserve"> </w:t>
      </w:r>
      <w:r>
        <w:t xml:space="preserve">positioned abstract reasoning as the defining characteristic of human existence. This Cartesian model frames the mind as a thinking mechanism separate from both body and world—a disembodied processor of information. The modern project of artificial intelligence follows directly from this conception: if human intelligence is fundamentally computational, then creating artificial intelligence simply requires building sufficiently sophisticated computational systems.</w:t>
      </w:r>
    </w:p>
    <w:p>
      <w:pPr>
        <w:pStyle w:val="BodyText"/>
      </w:pPr>
      <w:r>
        <w:t xml:space="preserve">But what if this foundational assumption is wrong? What if human intelligence isn’t primarily computational at all, but emerges from our embodied, situated existence in the world? This is precisely the argument advanced by Heidegger and other Continental philosophers, and it is critical to our understanding of both human and artificial intelligence.</w:t>
      </w:r>
    </w:p>
    <w:bookmarkStart w:id="76" w:name="X80ae3b2f07aa3412098adfc928f03c4a17de652"/>
    <w:p>
      <w:pPr>
        <w:pStyle w:val="Heading2"/>
      </w:pPr>
      <w:r>
        <w:t xml:space="preserve">4.1 Being-in-the-World</w:t>
      </w:r>
      <w:r>
        <w:t xml:space="preserve">: Heidegger’s Fundamental Insight</w:t>
      </w:r>
    </w:p>
    <w:p>
      <w:pPr>
        <w:pStyle w:val="FirstParagraph"/>
      </w:pPr>
      <w:r>
        <w:t xml:space="preserve">Heidegger’s masterwork, </w:t>
      </w:r>
      <w:r>
        <w:rPr>
          <w:i/>
          <w:iCs/>
        </w:rPr>
        <w:t xml:space="preserve">Being and Time</w:t>
      </w:r>
      <w:r>
        <w:t xml:space="preserve"> (1927), represents a radical departure from the Cartesian tradition. Where Descartes begins with the isolated, thinking subject, Heidegger starts with what he calls </w:t>
      </w:r>
      <w:r>
        <w:rPr>
          <w:i/>
          <w:iCs/>
        </w:rPr>
        <w:t xml:space="preserve">Dasein</w:t>
      </w:r>
      <w:r>
        <w:t xml:space="preserve"> (literally</w:t>
      </w:r>
      <w:r>
        <w:t xml:space="preserve"> </w:t>
      </w:r>
      <w:r>
        <w:t xml:space="preserve">“being-there”</w:t>
      </w:r>
      <w:r>
        <w:t xml:space="preserve">)—human existence characterized by its fundamental embeddedness in a meaningful world. For Heidegger, we are not primarily thinking beings who sometimes act in the world; we are fundamentally beings-in-the-world who occasionally step back to think abstractly.</w:t>
      </w:r>
    </w:p>
    <w:p>
      <w:pPr>
        <w:pStyle w:val="BodyText"/>
      </w:pPr>
      <w:r>
        <w:t xml:space="preserve">This distinction may seem subtle, but its implications are profound. In the Cartesian model, our primary relationship to the world is one of detached observation and calculation—we represent the world internally and then compute appropriate responses. In Heidegger’s model, our primary relationship to the world is one of practical engagement—we are always already involved in meaningful situations that shape our perceptions, actions, and understanding.</w:t>
      </w:r>
    </w:p>
    <w:p>
      <w:pPr>
        <w:pStyle w:val="BodyText"/>
      </w:pPr>
      <w:r>
        <w:t xml:space="preserve">Let’s see how this plays out in skilled performance. A virtuoso pianist doesn’t mentally represent each note before playing it; she is absorbed in the activity itself, responding fluidly to the music as it unfolds. A seasoned trader doesn’t consciously calculate each market move; he intuitively reads patterns and responds with practiced expertise. Heidegger describes this mode of engagement as</w:t>
      </w:r>
      <w:r>
        <w:t xml:space="preserve"> </w:t>
      </w:r>
      <w:r>
        <w:t xml:space="preserve">“ready-to-hand</w:t>
      </w:r>
      <w:r>
        <w:t xml:space="preserve">”</w:t>
      </w:r>
      <w:r>
        <w:t xml:space="preserve"> </w:t>
      </w:r>
      <w:r>
        <w:t xml:space="preserve">(</w:t>
      </w:r>
      <w:r>
        <w:rPr>
          <w:i/>
          <w:iCs/>
        </w:rPr>
        <w:t xml:space="preserve">Zuhandenheit</w:t>
      </w:r>
      <w:r>
        <w:t xml:space="preserve">)—a state where tools and skills become extensions of ourselves rather than objects of conscious attention.</w:t>
      </w:r>
    </w:p>
    <w:p>
      <w:pPr>
        <w:pStyle w:val="BodyText"/>
      </w:pPr>
      <w:r>
        <w:t xml:space="preserve">This ready-to-hand mode contrasts sharply with what Heidegger calls</w:t>
      </w:r>
      <w:r>
        <w:t xml:space="preserve"> </w:t>
      </w:r>
      <w:r>
        <w:t xml:space="preserve">“present-at-hand</w:t>
      </w:r>
      <w:r>
        <w:t xml:space="preserve">”</w:t>
      </w:r>
      <w:r>
        <w:t xml:space="preserve"> </w:t>
      </w:r>
      <w:r>
        <w:t xml:space="preserve">(</w:t>
      </w:r>
      <w:r>
        <w:rPr>
          <w:i/>
          <w:iCs/>
        </w:rPr>
        <w:t xml:space="preserve">Vorhandenheit</w:t>
      </w:r>
      <w:r>
        <w:t xml:space="preserve">)—the detached, analytical stance we adopt when something breaks down or becomes problematic. When the pianist hits a wrong note or the trader encounters an anomalous market pattern, they shift from absorbed engagement to conscious analysis. This analytical stance approximates the Cartesian model of detached representation, but for Heidegger, it’s a derived and secondary mode of engagement, not our primary way of being in the world.</w:t>
      </w:r>
    </w:p>
    <w:bookmarkEnd w:id="76"/>
    <w:bookmarkStart w:id="77" w:name="implications-for-artificial-intelligence"/>
    <w:p>
      <w:pPr>
        <w:pStyle w:val="Heading2"/>
      </w:pPr>
      <w:r>
        <w:t xml:space="preserve">4.2 Implications for Artificial Intelligence</w:t>
      </w:r>
    </w:p>
    <w:p>
      <w:pPr>
        <w:pStyle w:val="FirstParagraph"/>
      </w:pPr>
      <w:r>
        <w:t xml:space="preserve">This philosophical reframing has profound implications for artificial intelligence. Current AI systems—even sophisticated ones like large language models</w:t>
      </w:r>
      <w:r>
        <w:t xml:space="preserve">—operate entirely in the</w:t>
      </w:r>
      <w:r>
        <w:t xml:space="preserve"> </w:t>
      </w:r>
      <w:r>
        <w:t xml:space="preserve">“present-at-hand”</w:t>
      </w:r>
      <w:r>
        <w:t xml:space="preserve"> </w:t>
      </w:r>
      <w:r>
        <w:t xml:space="preserve">mode. They process information, identify patterns, and generate outputs based on statistical correlations, but they lack the capacity for</w:t>
      </w:r>
      <w:r>
        <w:t xml:space="preserve"> </w:t>
      </w:r>
      <w:r>
        <w:t xml:space="preserve">“ready-to-hand”</w:t>
      </w:r>
      <w:r>
        <w:t xml:space="preserve"> </w:t>
      </w:r>
      <w:r>
        <w:t xml:space="preserve">engagement with the world.</w:t>
      </w:r>
    </w:p>
    <w:p>
      <w:pPr>
        <w:pStyle w:val="BodyText"/>
      </w:pPr>
      <w:r>
        <w:t xml:space="preserve">This limitation becomes apparent when we examine the capabilities and limitations of current AI systems. Recall the example from earlier chapters: large language models cannot</w:t>
      </w:r>
      <w:r>
        <w:t xml:space="preserve"> </w:t>
      </w:r>
      <w:r>
        <w:t xml:space="preserve">“backtrack”</w:t>
      </w:r>
      <w:r>
        <w:t xml:space="preserve"> </w:t>
      </w:r>
      <w:r>
        <w:t xml:space="preserve">or revise their fundamental assumptions mid-stream. When tasked with writing</w:t>
      </w:r>
      <w:r>
        <w:t xml:space="preserve"> </w:t>
      </w:r>
      <w:r>
        <w:t xml:space="preserve">“a sentence that describes its own length in words,”</w:t>
      </w:r>
      <w:r>
        <w:t xml:space="preserve"> </w:t>
      </w:r>
      <w:r>
        <w:t xml:space="preserve">they consistently fail despite their impressive pattern-recognition capabilities. This isn’t merely a technical limitation that future iterations will overcome; it reflects a more fundamental difference between computational processing and human understanding.</w:t>
      </w:r>
    </w:p>
    <w:p>
      <w:pPr>
        <w:pStyle w:val="BodyText"/>
      </w:pPr>
      <w:r>
        <w:t xml:space="preserve">Human understanding emerges from our practical engagement with the world—what Heidegger calls our</w:t>
      </w:r>
      <w:r>
        <w:t xml:space="preserve"> </w:t>
      </w:r>
      <w:r>
        <w:t xml:space="preserve">“pre-understanding”</w:t>
      </w:r>
      <w:r>
        <w:t xml:space="preserve"> </w:t>
      </w:r>
      <w:r>
        <w:t xml:space="preserve">or</w:t>
      </w:r>
      <w:r>
        <w:t xml:space="preserve"> </w:t>
      </w:r>
      <w:r>
        <w:t xml:space="preserve">“fore-structure of understanding.”</w:t>
      </w:r>
      <w:r>
        <w:t xml:space="preserve"> </w:t>
      </w:r>
      <w:r>
        <w:t xml:space="preserve">We always approach situations with a tacit grasp of how things work, gained through our embodied experience in a shared world of meaning. This pre-understanding isn’t represented explicitly in propositional form; it’s woven into our very way of being in the world.</w:t>
      </w:r>
    </w:p>
    <w:p>
      <w:pPr>
        <w:pStyle w:val="BodyText"/>
      </w:pPr>
      <w:r>
        <w:t xml:space="preserve">AI systems lack this pre-understanding because they don’t inhabit the world as we do. They process information but don’t experience it in a meaningful context. This explains why AI systems can process vast amounts of text about human emotions without ever feeling them, or analyze countless images of objects without developing a practical understanding of how those objects function in everyday life.</w:t>
      </w:r>
    </w:p>
    <w:bookmarkEnd w:id="77"/>
    <w:bookmarkStart w:id="78" w:name="temporality-and-human-understanding"/>
    <w:p>
      <w:pPr>
        <w:pStyle w:val="Heading2"/>
      </w:pPr>
      <w:r>
        <w:t xml:space="preserve">4.3 Temporality and Human Understanding</w:t>
      </w:r>
    </w:p>
    <w:p>
      <w:pPr>
        <w:pStyle w:val="FirstParagraph"/>
      </w:pPr>
      <w:r>
        <w:t xml:space="preserve">Heidegger further distinguishes human intelligence through his concept of temporality. For Heidegger, humans exist temporally—our understanding of the present is always shaped by our experience of the past and our projection toward the future. This temporal structure isn’t merely about placing events on a timeline; it’s about how past, present, and future interpenetrate in our lived experience.</w:t>
      </w:r>
    </w:p>
    <w:p>
      <w:pPr>
        <w:pStyle w:val="BodyText"/>
      </w:pPr>
      <w:r>
        <w:t xml:space="preserve">When a skilled investor makes decisions, he isn’t simply processing current data; he’s drawing on his lived experience of past market cycles and projecting potential futures based on that understanding. This temporality isn’t reducible to a database of past events plus a prediction algorithm. It’s a unified structure of experience that shapes how the investor perceives and interprets the present.</w:t>
      </w:r>
    </w:p>
    <w:p>
      <w:pPr>
        <w:pStyle w:val="BodyText"/>
      </w:pPr>
      <w:r>
        <w:t xml:space="preserve">AI systems, in contrast, can process historical data and make statistical projections, but they lack this unified temporal structure. Their</w:t>
      </w:r>
      <w:r>
        <w:t xml:space="preserve"> </w:t>
      </w:r>
      <w:r>
        <w:t xml:space="preserve">“knowledge”</w:t>
      </w:r>
      <w:r>
        <w:t xml:space="preserve"> </w:t>
      </w:r>
      <w:r>
        <w:t xml:space="preserve">of the past consists of statistical patterns extracted from training data</w:t>
      </w:r>
      <w:r>
        <w:t xml:space="preserve">, not lived experience. Their projections of the future derive from these same patterns, not from a meaningful engagement with possibilities that matter to them. This difference becomes particularly evident in novel situations that diverge significantly from historical patterns—precisely the situations where human judgment</w:t>
      </w:r>
      <w:r>
        <w:t xml:space="preserve"> </w:t>
      </w:r>
      <w:r>
        <w:t xml:space="preserve">proves most valuable.</w:t>
      </w:r>
    </w:p>
    <w:bookmarkEnd w:id="78"/>
    <w:bookmarkStart w:id="79" w:name="the-social-dimension-of-intelligence"/>
    <w:p>
      <w:pPr>
        <w:pStyle w:val="Heading2"/>
      </w:pPr>
      <w:r>
        <w:t xml:space="preserve">4.4 The Social Dimension of Intelligence</w:t>
      </w:r>
    </w:p>
    <w:p>
      <w:pPr>
        <w:pStyle w:val="FirstParagraph"/>
      </w:pPr>
      <w:r>
        <w:t xml:space="preserve">Another crucial aspect of human intelligence emerges from what Heidegger calls</w:t>
      </w:r>
      <w:r>
        <w:t xml:space="preserve"> </w:t>
      </w:r>
      <w:r>
        <w:t xml:space="preserve">“being-with”</w:t>
      </w:r>
      <w:r>
        <w:t xml:space="preserve"> </w:t>
      </w:r>
      <w:r>
        <w:t xml:space="preserve">(</w:t>
      </w:r>
      <w:r>
        <w:rPr>
          <w:i/>
          <w:iCs/>
        </w:rPr>
        <w:t xml:space="preserve">Mitsein</w:t>
      </w:r>
      <w:r>
        <w:t xml:space="preserve">)—our fundamental connectedness with other humans in a shared world of meaning. Human intelligence develops through social interaction, cultural inheritance, and participation in what philosopher Hans-Georg Gadamer later called</w:t>
      </w:r>
      <w:r>
        <w:t xml:space="preserve"> </w:t>
      </w:r>
      <w:r>
        <w:t xml:space="preserve">“traditions of understanding.”</w:t>
      </w:r>
    </w:p>
    <w:p>
      <w:pPr>
        <w:pStyle w:val="BodyText"/>
      </w:pPr>
      <w:r>
        <w:t xml:space="preserve">Consider how a seasoned executive can</w:t>
      </w:r>
      <w:r>
        <w:t xml:space="preserve"> </w:t>
      </w:r>
      <w:r>
        <w:t xml:space="preserve">“read the room”</w:t>
      </w:r>
      <w:r>
        <w:t xml:space="preserve"> </w:t>
      </w:r>
      <w:r>
        <w:t xml:space="preserve">during a complex negotiation. This capacity isn’t merely about processing verbal statements and visual cues; it draws on a lifetime of social and cultural understanding that allows the executive to sense tensions, identify shared interests, and navigate complex human dynamics. This social intelligence emerges from our participation in a shared world of meaning that AI systems, despite their sophisticated pattern recognition</w:t>
      </w:r>
      <w:r>
        <w:t xml:space="preserve"> </w:t>
      </w:r>
      <w:r>
        <w:t xml:space="preserve">capabilities, don’t inhabit.</w:t>
      </w:r>
    </w:p>
    <w:p>
      <w:pPr>
        <w:pStyle w:val="BodyText"/>
      </w:pPr>
      <w:r>
        <w:t xml:space="preserve">This social dimension helps explain why AI systems trained on internet text often reproduce biases, stereotypes, and problematic patterns present in their training data. These systems don’t possess the social understanding that allows humans to critically evaluate cultural norms and practices. They can mimic patterns of language without grasping the ethical and social implications of those patterns.</w:t>
      </w:r>
    </w:p>
    <w:bookmarkEnd w:id="79"/>
    <w:bookmarkStart w:id="80" w:name="X4007eaaed2c728621249d4b2a0e82049ea7c7bd"/>
    <w:p>
      <w:pPr>
        <w:pStyle w:val="Heading2"/>
      </w:pPr>
      <w:r>
        <w:t xml:space="preserve">4.5 The Case for Enhancement</w:t>
      </w:r>
      <w:r>
        <w:t xml:space="preserve"> </w:t>
      </w:r>
      <w:r>
        <w:t xml:space="preserve">Rather Than Replacement</w:t>
      </w:r>
    </w:p>
    <w:p>
      <w:pPr>
        <w:pStyle w:val="FirstParagraph"/>
      </w:pPr>
      <w:r>
        <w:t xml:space="preserve">These philosophical insights illuminate why enhancement rather than replacement represents the more productive path for AI development. AI systems excel at certain types of information processing—they can analyze vast datasets, identify statistical patterns, and generate outputs that follow those patterns. But they lack the embodied, temporal, and social dimensions of human intelligence that emerge from our being-in-the-world.</w:t>
      </w:r>
    </w:p>
    <w:p>
      <w:pPr>
        <w:pStyle w:val="BodyText"/>
      </w:pPr>
      <w:r>
        <w:t xml:space="preserve">This suggests that AI should be designed to complement human capabilities</w:t>
      </w:r>
      <w:r>
        <w:t xml:space="preserve"> </w:t>
      </w:r>
      <w:r>
        <w:t xml:space="preserve">rather than replicate them. Think about how a hammer extends human capabilities without attempting to replicate the human arm. Similarly, AI should extend human intelligence without trying to replicate human understanding.</w:t>
      </w:r>
    </w:p>
    <w:p>
      <w:pPr>
        <w:pStyle w:val="BodyText"/>
      </w:pPr>
      <w:r>
        <w:t xml:space="preserve">For example, see these three different business activities:</w:t>
      </w:r>
    </w:p>
    <w:p>
      <w:pPr>
        <w:pStyle w:val="BodyText"/>
      </w:pPr>
      <w:r>
        <w:t xml:space="preserve">Processing insurance claims involves following procedures and applying consistent rules to standardized information—an ideal candidate for AI enhancement. The AI can handle the computational complexity while humans provide judgment in unusual cases that require contextual understanding</w:t>
      </w:r>
      <w:r>
        <w:t xml:space="preserve">.</w:t>
      </w:r>
    </w:p>
    <w:p>
      <w:pPr>
        <w:pStyle w:val="BodyText"/>
      </w:pPr>
      <w:r>
        <w:t xml:space="preserve">Negotiating a major acquisition requires deep cultural understanding, ethical judgment, and reading subtle human dynamics—activities that emerge from our being-in-the-world in ways that AI cannot replicate. Here, AI might assist with data analysis while humans manage the relational and strategic dimensions.</w:t>
      </w:r>
    </w:p>
    <w:p>
      <w:pPr>
        <w:pStyle w:val="BodyText"/>
      </w:pPr>
      <w:r>
        <w:t xml:space="preserve">Developing new product strategy requires what Heidegger calls</w:t>
      </w:r>
      <w:r>
        <w:t xml:space="preserve"> </w:t>
      </w:r>
      <w:r>
        <w:t xml:space="preserve">“projection”</w:t>
      </w:r>
      <w:r>
        <w:t xml:space="preserve">—understanding current possibilities in light of future potential. AI can provide data and analysis, but the creative insight that identifies meaningful new directions draws on human capacities for imagination and situated understanding that AI lacks.</w:t>
      </w:r>
    </w:p>
    <w:p>
      <w:pPr>
        <w:pStyle w:val="BodyText"/>
      </w:pPr>
      <w:r>
        <w:t xml:space="preserve">This pattern appears consistently in markets. Companies that attempt to fully automate complex human judgments often disappoint, while those that use AI to enhance human capabilities tend to succeed. It’s not about making AI more</w:t>
      </w:r>
      <w:r>
        <w:t xml:space="preserve"> </w:t>
      </w:r>
      <w:r>
        <w:t xml:space="preserve">“human-like”</w:t>
      </w:r>
      <w:r>
        <w:t xml:space="preserve"> </w:t>
      </w:r>
      <w:r>
        <w:t xml:space="preserve">but about recognizing the unique characteristics of human intelligence and designing systems that complement rather than replace them.</w:t>
      </w:r>
    </w:p>
    <w:bookmarkEnd w:id="80"/>
    <w:bookmarkStart w:id="81" w:name="Xd387aee194ccb4207985993691bc15f868695a9"/>
    <w:p>
      <w:pPr>
        <w:pStyle w:val="Heading2"/>
      </w:pPr>
      <w:r>
        <w:t xml:space="preserve">4.6 The Myth of Artificial General Intelligence</w:t>
      </w:r>
    </w:p>
    <w:p>
      <w:pPr>
        <w:pStyle w:val="FirstParagraph"/>
      </w:pPr>
      <w:r>
        <w:t xml:space="preserve">This philosophical perspective suggests that the current quest for artificial general intelligence (AGI) may be fundamentally misguided. The goal of creating machines that think</w:t>
      </w:r>
      <w:r>
        <w:t xml:space="preserve"> </w:t>
      </w:r>
      <w:r>
        <w:t xml:space="preserve">“like humans”</w:t>
      </w:r>
      <w:r>
        <w:t xml:space="preserve"> </w:t>
      </w:r>
      <w:r>
        <w:t xml:space="preserve">assumes that human thinking is essentially computational—precisely the assumption that Heidegger and other Continental philosophers challenge.</w:t>
      </w:r>
    </w:p>
    <w:p>
      <w:pPr>
        <w:pStyle w:val="BodyText"/>
      </w:pPr>
      <w:r>
        <w:t xml:space="preserve">If human intelligence emerges from our embodied existence, temporal structure, and social embeddedness, then replicating it would require not just more sophisticated algorithms</w:t>
      </w:r>
      <w:r>
        <w:t xml:space="preserve"> </w:t>
      </w:r>
      <w:r>
        <w:t xml:space="preserve">but machines that inhabit the world as we do. This doesn’t mean AGI is impossible in principle, but it suggests that the path toward it may require fundamentally different approaches than the current focus on increasingly sophisticated computational models.</w:t>
      </w:r>
    </w:p>
    <w:p>
      <w:pPr>
        <w:pStyle w:val="BodyText"/>
      </w:pPr>
      <w:r>
        <w:t xml:space="preserve">Rather than pursuing artificial general intelligence that replicates human thinking, we might more productively focus on artificial specific intelligence that complements human capabilities—systems designed to handle computational complexity while preserving space for the uniquely human dimensions of judgment, creativity, and meaning-making.</w:t>
      </w:r>
    </w:p>
    <w:bookmarkEnd w:id="81"/>
    <w:bookmarkStart w:id="82" w:name="the-flow-state-and-the-what-how-divide"/>
    <w:p>
      <w:pPr>
        <w:pStyle w:val="Heading2"/>
      </w:pPr>
      <w:r>
        <w:t xml:space="preserve">4.7 The Flow State and the What-How Divide</w:t>
      </w:r>
    </w:p>
    <w:p>
      <w:pPr>
        <w:pStyle w:val="FirstParagraph"/>
      </w:pPr>
      <w:r>
        <w:t xml:space="preserve">This philosophical analysis illuminates the</w:t>
      </w:r>
      <w:r>
        <w:t xml:space="preserve"> </w:t>
      </w:r>
      <w:r>
        <w:t xml:space="preserve">“what-how”</w:t>
      </w:r>
      <w:r>
        <w:t xml:space="preserve"> </w:t>
      </w:r>
      <w:r>
        <w:t xml:space="preserve">distinction developed in earlier chapters. AI excels at</w:t>
      </w:r>
      <w:r>
        <w:t xml:space="preserve"> </w:t>
      </w:r>
      <w:r>
        <w:t xml:space="preserve">“how”</w:t>
      </w:r>
      <w:r>
        <w:t xml:space="preserve"> </w:t>
      </w:r>
      <w:r>
        <w:t xml:space="preserve">tasks—executing well-defined processes according to explicit rules. Humans maintain advantages in determining</w:t>
      </w:r>
      <w:r>
        <w:t xml:space="preserve"> </w:t>
      </w:r>
      <w:r>
        <w:t xml:space="preserve">“what”</w:t>
      </w:r>
      <w:r>
        <w:t xml:space="preserve"> </w:t>
      </w:r>
      <w:r>
        <w:t xml:space="preserve">is worth doing—making judgments about value, meaning, and purpose that emerge from our being-in-the-world.</w:t>
      </w:r>
    </w:p>
    <w:p>
      <w:pPr>
        <w:pStyle w:val="BodyText"/>
      </w:pPr>
      <w:r>
        <w:t xml:space="preserve">This connects to what psychologist Mihaly Csikszentmihalyi called</w:t>
      </w:r>
      <w:r>
        <w:t xml:space="preserve"> </w:t>
      </w:r>
      <w:r>
        <w:t xml:space="preserve">“flow”</w:t>
      </w:r>
      <w:r>
        <w:t xml:space="preserve">—a state of absorbed engagement similar to Heidegger’s</w:t>
      </w:r>
      <w:r>
        <w:t xml:space="preserve"> </w:t>
      </w:r>
      <w:r>
        <w:t xml:space="preserve">“ready-to-hand”</w:t>
      </w:r>
      <w:r>
        <w:t xml:space="preserve"> </w:t>
      </w:r>
      <w:r>
        <w:t xml:space="preserve">mode. When executives describe being</w:t>
      </w:r>
      <w:r>
        <w:t xml:space="preserve"> </w:t>
      </w:r>
      <w:r>
        <w:t xml:space="preserve">“in the zone”</w:t>
      </w:r>
      <w:r>
        <w:t xml:space="preserve"> </w:t>
      </w:r>
      <w:r>
        <w:t xml:space="preserve">or</w:t>
      </w:r>
      <w:r>
        <w:t xml:space="preserve"> </w:t>
      </w:r>
      <w:r>
        <w:t xml:space="preserve">“in the flow,”</w:t>
      </w:r>
      <w:r>
        <w:t xml:space="preserve"> </w:t>
      </w:r>
      <w:r>
        <w:t xml:space="preserve">they’re experiencing a mode of understanding that transcends explicit computation. Their decisions emerge from a holistic grasp of the situation rather than step-by-step calculation.</w:t>
      </w:r>
    </w:p>
    <w:p>
      <w:pPr>
        <w:pStyle w:val="BodyText"/>
      </w:pPr>
      <w:r>
        <w:t xml:space="preserve">Interestingly, this flow state often accompanies our most effective performance while being least amenable to computational modeling. The jazz musician improvising a solo, the CEO navigating a complex strategic decision, and the physician making a difficult diagnosis all draw on forms of understanding that emerge from embodied expertise rather than explicit algorithms.</w:t>
      </w:r>
    </w:p>
    <w:bookmarkEnd w:id="82"/>
    <w:bookmarkStart w:id="83" w:name="practical-implications"/>
    <w:p>
      <w:pPr>
        <w:pStyle w:val="Heading2"/>
      </w:pPr>
      <w:r>
        <w:t xml:space="preserve">4.8 Practical Implications</w:t>
      </w:r>
    </w:p>
    <w:p>
      <w:pPr>
        <w:pStyle w:val="FirstParagraph"/>
      </w:pPr>
      <w:r>
        <w:t xml:space="preserve">This philosophical perspective has practical implications for both business leaders and investors. For business leaders, it suggests focusing AI implementations on enhancing rather than replacing human judgment—using AI to handle computational complexity while preserving human agency</w:t>
      </w:r>
      <w:r>
        <w:t xml:space="preserve"> </w:t>
      </w:r>
      <w:r>
        <w:t xml:space="preserve">in decisions requiring contextual understanding, ethical judgment, or creative insight.</w:t>
      </w:r>
    </w:p>
    <w:p>
      <w:pPr>
        <w:pStyle w:val="BodyText"/>
      </w:pPr>
      <w:r>
        <w:t xml:space="preserve">For investors, it suggests evaluating AI companies based not on how effectively they automate human tasks, but on how effectively they enhance human capabilities. Companies that demonstrate a sophisticated understanding of the complementary strengths of human and artificial intelligence are more likely to create sustainable value than those pursuing full automation</w:t>
      </w:r>
      <w:r>
        <w:t xml:space="preserve"> </w:t>
      </w:r>
      <w:r>
        <w:t xml:space="preserve">in domains where human judgment remains essential.</w:t>
      </w:r>
    </w:p>
    <w:bookmarkEnd w:id="83"/>
    <w:bookmarkStart w:id="84" w:name="the-bottom-line"/>
    <w:p>
      <w:pPr>
        <w:pStyle w:val="Heading2"/>
      </w:pPr>
      <w:r>
        <w:t xml:space="preserve">4.9 The Bottom Line</w:t>
      </w:r>
    </w:p>
    <w:p>
      <w:pPr>
        <w:pStyle w:val="FirstParagraph"/>
      </w:pPr>
      <w:r>
        <w:t xml:space="preserve">The philosophical tradition initiated by Heidegger offers a crucial corrective to the Cartesian assumptions underlying much AI development. By recognizing that human intelligence emerges from our embodied, temporal, and social existence—not just from computational processing—we can develop more realistic expectations about AI’s potential and limitations.</w:t>
      </w:r>
    </w:p>
    <w:p>
      <w:pPr>
        <w:pStyle w:val="BodyText"/>
      </w:pPr>
      <w:r>
        <w:t xml:space="preserve">This doesn’t diminish AI’s transformative potential. Just as technologies from writing to calculators have extended human capabilities without replacing human intelligence, AI can enhance our cognitive capabilities in ways that complement rather than replicate our distinctively human ways of understanding the world.</w:t>
      </w:r>
    </w:p>
    <w:p>
      <w:pPr>
        <w:pStyle w:val="BodyText"/>
      </w:pPr>
      <w:r>
        <w:t xml:space="preserve">The future belongs not to artificial general intelligence that mimics human thinking, but to human-AI partnerships that respect and amplify what makes human intelligence unique—our being-in-the-world, our temporality, and our fundamental way of sharing meaning with others. This perspective guides both our technical approach to AI implementation and our philosophical understanding of what it means to be human in an increasingly technological world.</w:t>
      </w:r>
    </w:p>
    <w:bookmarkEnd w:id="84"/>
    <w:bookmarkEnd w:id="85"/>
    <w:bookmarkStart w:id="94" w:name="the-human-edge"/>
    <w:p>
      <w:pPr>
        <w:pStyle w:val="Heading1"/>
      </w:pPr>
      <w:r>
        <w:t xml:space="preserve">5. The Human Edge</w:t>
      </w:r>
    </w:p>
    <w:p>
      <w:pPr>
        <w:pStyle w:val="FirstParagraph"/>
      </w:pPr>
      <w:r>
        <w:t xml:space="preserve">Judgment in an Age of Algorithms</w:t>
      </w:r>
    </w:p>
    <w:p>
      <w:pPr>
        <w:pStyle w:val="BodyText"/>
      </w:pPr>
      <w:r>
        <w:t xml:space="preserve">In an era increasingly defined by algorithmic processing, the question of human judgment</w:t>
      </w:r>
      <w:r>
        <w:t xml:space="preserve">’s unique value becomes not merely philosophical but practical. The rapid advancement of artificial intelligence</w:t>
      </w:r>
      <w:r>
        <w:t xml:space="preserve"> </w:t>
      </w:r>
      <w:r>
        <w:t xml:space="preserve">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86" w:name="the-uniqueness-of-human-judgment"/>
    <w:p>
      <w:pPr>
        <w:pStyle w:val="Heading2"/>
      </w:pPr>
      <w:r>
        <w:t xml:space="preserve">5.1 The Uniqueness of Human Judgment</w:t>
      </w:r>
    </w:p>
    <w:p>
      <w:pPr>
        <w:pStyle w:val="FirstParagraph"/>
      </w:pPr>
      <w:r>
        <w:t xml:space="preserve">Recall the ambitious attempt to create Beethoven</w:t>
      </w:r>
      <w:r>
        <w:t xml:space="preserve">’s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w:t>
      </w:r>
      <w:r>
        <w:t xml:space="preserve"> </w:t>
      </w:r>
      <w:r>
        <w:t xml:space="preserve">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w:t>
      </w:r>
      <w:r>
        <w:t xml:space="preserve"> </w:t>
      </w:r>
      <w:r>
        <w:t xml:space="preserve">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As discussed in chapter four, Martin Heidegger</w:t>
      </w:r>
      <w:r>
        <w:t xml:space="preserve">’s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w:t>
      </w:r>
      <w:r>
        <w:t xml:space="preserve"> </w:t>
      </w:r>
      <w:r>
        <w:t xml:space="preserve">(Dasein</w:t>
      </w:r>
      <w:r>
        <w:t xml:space="preserve">).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w:t>
      </w:r>
      <w:r>
        <w:t xml:space="preserve">, interpreting Heidegger, called</w:t>
      </w:r>
      <w:r>
        <w:t xml:space="preserve"> </w:t>
      </w:r>
      <w:r>
        <w:t xml:space="preserve">“comportment</w:t>
      </w:r>
      <w:r>
        <w:t xml:space="preserve">”</w:t>
      </w:r>
      <w:r>
        <w:t xml:space="preserve">—an orientation toward the world that precedes and enables explicit reasoning.</w:t>
      </w:r>
    </w:p>
    <w:p>
      <w:pPr>
        <w:pStyle w:val="BodyText"/>
      </w:pPr>
      <w:r>
        <w:t xml:space="preserve">Artificial intelligence systems, while increasingly sophisticated in their pattern recognition</w:t>
      </w:r>
      <w:r>
        <w:t xml:space="preserve"> </w:t>
      </w:r>
      <w:r>
        <w:t xml:space="preserve">capabilities, operate fundamentally differently. They recognize statistical regularities without inhabiting the human world of concerns and commitments. This distinction becomes apparent when examining the architecture of both human and algorithmic judgment.</w:t>
      </w:r>
    </w:p>
    <w:bookmarkEnd w:id="86"/>
    <w:bookmarkStart w:id="87"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Large language models</w:t>
      </w:r>
      <w:r>
        <w:t xml:space="preserve"> </w:t>
      </w:r>
      <w:r>
        <w:t xml:space="preserve">(LLMs)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87"/>
    <w:bookmarkStart w:id="88"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w:t>
      </w:r>
      <w:r>
        <w:t xml:space="preserve">,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Both the 1998 collapse of Long Term Capital and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 Investment firms that were successful navigating the 1998 and 2008 crises recognized that human intervention was indispensable to handle unique situations. Yet it is those situations that differentiate an outstanding investor from one who is merely competent.</w:t>
      </w:r>
    </w:p>
    <w:p>
      <w:pPr>
        <w:pStyle w:val="BodyText"/>
      </w:pPr>
      <w:r>
        <w:t xml:space="preserve">Similar patterns emerge in technical implementation across industries.Think for example of the arduous development of fully autonomous vehicles</w:t>
      </w:r>
      <w:r>
        <w:t xml:space="preserve">, easily one of the most ambitious applications of artificial intelligence to real-world problems. Despite massive investments and impressive technical achievements, full autonomy remains elusive in complex, unpredictable environments. Today, autonomous vehicle can manage trips that are relatively easy and uneventful, say an orderly turn on a quiet road or an exit from a highway, but they still struggle and are accident-prone when an expected situation emerges, say if a pedestrian suddenly emerges in the car’s path.</w:t>
      </w:r>
    </w:p>
    <w:p>
      <w:pPr>
        <w:pStyle w:val="BodyText"/>
      </w:pPr>
      <w:r>
        <w:t xml:space="preserve">The challenges facing autonomous vehicle systems reveal the limitations of purely algorithmic approaches to navigation and decision-making</w:t>
      </w:r>
      <w:r>
        <w:t xml:space="preserve">.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88"/>
    <w:bookmarkStart w:id="89"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In planning a pandemic response for example,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a</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and that may appear opaque to a layperson.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constitutes the ultimate</w:t>
      </w:r>
      <w:r>
        <w:t xml:space="preserve"> </w:t>
      </w:r>
      <w:r>
        <w:t xml:space="preserve">“human edge”</w:t>
      </w:r>
      <w:r>
        <w:t xml:space="preserve"> </w:t>
      </w:r>
      <w:r>
        <w:t xml:space="preserve">and it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89"/>
    <w:bookmarkStart w:id="90" w:name="the-enhancement-framework-revisited"/>
    <w:p>
      <w:pPr>
        <w:pStyle w:val="Heading2"/>
      </w:pPr>
      <w:r>
        <w:t xml:space="preserve">5.5 The Enhancement</w:t>
      </w:r>
      <w:r>
        <w:t xml:space="preserve"> </w:t>
      </w:r>
      <w:r>
        <w:t xml:space="preserve">Framework Revisited</w:t>
      </w:r>
    </w:p>
    <w:p>
      <w:pPr>
        <w:pStyle w:val="FirstParagraph"/>
      </w:pPr>
      <w:r>
        <w:t xml:space="preserve">Understanding these distinctive capacities allows us to develop more effective approaches to human-AI collaboration</w:t>
      </w:r>
      <w:r>
        <w:t xml:space="preserve">. Rather than conceptualizing artificial intelligence as a replacement for human judgment, we can design systems that enhance human capabilities</w:t>
      </w:r>
      <w:r>
        <w:t xml:space="preserve"> </w:t>
      </w:r>
      <w:r>
        <w:t xml:space="preserve">by performing complementary functions. This enhancement framework</w:t>
      </w:r>
      <w:r>
        <w:t xml:space="preserve"> </w:t>
      </w:r>
      <w:r>
        <w:t xml:space="preserve">acknowledges the distinctive strengths of both human judgment and algorithmic processing. Simply put, AI can enhance, accelerate and facilitate a lot of work, but it cannot perform at the same standard of excellence of top human experts.</w:t>
      </w:r>
    </w:p>
    <w:p>
      <w:pPr>
        <w:pStyle w:val="BodyText"/>
      </w:pPr>
      <w:r>
        <w:t xml:space="preserve">Effective enhancement requires careful attention to interface design</w:t>
      </w:r>
      <w:r>
        <w:t xml:space="preserve">, workflow integration</w:t>
      </w:r>
      <w:r>
        <w:t xml:space="preserve">,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w:t>
      </w:r>
      <w:r>
        <w:t xml:space="preserve"> </w:t>
      </w:r>
      <w:r>
        <w:t xml:space="preserve">Technologies offers an instructive example of this approach. The company’s data integration platforms serve intelligence agencies, financial institutions, and healthcare</w:t>
      </w:r>
      <w:r>
        <w:t xml:space="preserve"> </w:t>
      </w:r>
      <w:r>
        <w:t xml:space="preserve">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w:t>
      </w:r>
      <w:r>
        <w:t xml:space="preserve">.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90"/>
    <w:bookmarkStart w:id="91"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w:t>
      </w:r>
      <w:r>
        <w:t xml:space="preserve"> </w:t>
      </w:r>
      <w:r>
        <w:t xml:space="preserve">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 In some fields, we could say that the human is great because he/she is imperfect, and not robotic.</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w:t>
      </w:r>
      <w:r>
        <w:t xml:space="preserve">.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91"/>
    <w:bookmarkStart w:id="92" w:name="investment-implications-2"/>
    <w:p>
      <w:pPr>
        <w:pStyle w:val="Heading2"/>
      </w:pPr>
      <w:r>
        <w:t xml:space="preserve">5.7 Investment Implications</w:t>
      </w:r>
    </w:p>
    <w:p>
      <w:pPr>
        <w:pStyle w:val="FirstParagraph"/>
      </w:pPr>
      <w:r>
        <w:t xml:space="preserve">These philosophical considerations have practical implications for investment strategy</w:t>
      </w:r>
      <w:r>
        <w:t xml:space="preserve"> </w:t>
      </w:r>
      <w:r>
        <w:t xml:space="preserve">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09"/>
        </w:numPr>
      </w:pPr>
      <w:r>
        <w:t xml:space="preserve">Regulatory frameworks</w:t>
      </w:r>
      <w:r>
        <w:t xml:space="preserve"> </w:t>
      </w:r>
      <w:r>
        <w:t xml:space="preserve">increasingly demand human oversight for high-stakes decisions, creating persistent demand for human-in-the-loop</w:t>
      </w:r>
      <w:r>
        <w:t xml:space="preserve"> </w:t>
      </w:r>
      <w:r>
        <w:t xml:space="preserve">systems in healthcare, financial services</w:t>
      </w:r>
      <w:r>
        <w:t xml:space="preserve">, and other regulated industries.</w:t>
      </w:r>
    </w:p>
    <w:p>
      <w:pPr>
        <w:numPr>
          <w:ilvl w:val="0"/>
          <w:numId w:val="1009"/>
        </w:numPr>
      </w:pPr>
      <w:r>
        <w:t xml:space="preserve">Enhancement approaches align with organizational preferences for incremental transformation rather than disruptive replacement, facilitating adoption and integration.</w:t>
      </w:r>
    </w:p>
    <w:p>
      <w:pPr>
        <w:numPr>
          <w:ilvl w:val="0"/>
          <w:numId w:val="1009"/>
        </w:numPr>
      </w:pPr>
      <w:r>
        <w:t xml:space="preserve">Enhancement frameworks leverage existing human expertise while improving efficiency, creating immediate value rather than requiring complete transformation of workflows.</w:t>
      </w:r>
    </w:p>
    <w:p>
      <w:pPr>
        <w:numPr>
          <w:ilvl w:val="0"/>
          <w:numId w:val="1009"/>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and from the addition of human inputs to these technologies in ways that yield greater results. Vector databases</w:t>
      </w:r>
      <w:r>
        <w:t xml:space="preserve"> </w:t>
      </w:r>
      <w:r>
        <w:t xml:space="preserve">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92"/>
    <w:bookmarkStart w:id="93"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 This is in fact the human advantage that cannot be replicated by AI, the ultimate human edge.</w:t>
      </w:r>
    </w:p>
    <w:bookmarkEnd w:id="93"/>
    <w:bookmarkEnd w:id="94"/>
    <w:bookmarkStart w:id="102"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w:t>
      </w:r>
      <w:r>
        <w:t xml:space="preserve">’s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w:t>
      </w:r>
      <w:r>
        <w:t xml:space="preserve"> </w:t>
      </w:r>
      <w:r>
        <w:t xml:space="preserve">and clinical experience immediately recognized the error.</w:t>
      </w:r>
    </w:p>
    <w:p>
      <w:pPr>
        <w:pStyle w:val="BodyText"/>
      </w:pPr>
      <w:r>
        <w:t xml:space="preserve">These stories encapsulate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points—the</w:t>
      </w:r>
      <w:r>
        <w:t xml:space="preserve"> </w:t>
      </w:r>
      <w:r>
        <w:t xml:space="preserve">“enhancement</w:t>
      </w:r>
      <w:r>
        <w:t xml:space="preserve"> </w:t>
      </w:r>
      <w:r>
        <w:t xml:space="preserve">sweet spot.”</w:t>
      </w:r>
    </w:p>
    <w:bookmarkStart w:id="95"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the</w:t>
      </w:r>
      <w:r>
        <w:t xml:space="preserve"> </w:t>
      </w:r>
      <w:r>
        <w:t xml:space="preserve">“enhancement zone.”</w:t>
      </w:r>
    </w:p>
    <w:p>
      <w:pPr>
        <w:pStyle w:val="BodyText"/>
      </w:pPr>
      <w:r>
        <w:t xml:space="preserve">A good illustration comes from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A similar dynamic plays out in investment management</w:t>
      </w:r>
      <w:r>
        <w:t xml:space="preserve">.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r>
        <w:t xml:space="preserve">.</w:t>
      </w:r>
    </w:p>
    <w:p>
      <w:pPr>
        <w:pStyle w:val="BodyText"/>
      </w:pPr>
      <w:r>
        <w:t xml:space="preserve">During the market volatility of March 2020, purely algorithmic trading systems struggled to adapt to unprecedented conditions, while hybrid approaches that combined algorithmic speed with human judgment</w:t>
      </w:r>
      <w:r>
        <w:t xml:space="preserve"> </w:t>
      </w:r>
      <w:r>
        <w:t xml:space="preserve">navigated the turbulence more successfully. Neither approach alone delivered what both accomplished together. Renaissance Technologies runs what are arguably the most advanced algorithmic quant funds in the world. But some of its funds struggled and lost money in 2020 because of extreme volatility during the first year of the pandemic. It is possible that greater human involvement would have limited or avoided these losses.</w:t>
      </w:r>
    </w:p>
    <w:p>
      <w:pPr>
        <w:pStyle w:val="BodyText"/>
      </w:pPr>
      <w:r>
        <w:t xml:space="preserve">This pattern repeats across domains. In healthcare</w:t>
      </w:r>
      <w:r>
        <w:t xml:space="preserve">, AI excels at processing thousands of images with consistent attention to detail that surpasses human capability, but physicians contribute essential contextual understanding of patient history and presentation. In manufacturing</w:t>
      </w:r>
      <w:r>
        <w:t xml:space="preserve">, predictive maintenance algorithms</w:t>
      </w:r>
      <w:r>
        <w:t xml:space="preserve"> </w:t>
      </w:r>
      <w:r>
        <w:t xml:space="preserve">can identify potential equipment failures before they occur, but skilled technicians bring valuable context about specific machines and operating conditions.</w:t>
      </w:r>
    </w:p>
    <w:bookmarkEnd w:id="95"/>
    <w:bookmarkStart w:id="97" w:name="the-enhancement-framework"/>
    <w:p>
      <w:pPr>
        <w:pStyle w:val="Heading2"/>
      </w:pPr>
      <w:r>
        <w:t xml:space="preserve">6.2 The Enhancement Framework</w:t>
      </w:r>
    </w:p>
    <w:p>
      <w:pPr>
        <w:pStyle w:val="FirstParagraph"/>
      </w:pPr>
      <w:r>
        <w:t xml:space="preserve">How do we identify the points where AI can most effectively enhance human capabilities</w:t>
      </w:r>
      <w:r>
        <w:t xml:space="preserve">? We’ve developed a practical framework based on our extensive analysis of AI implementations across industries.</w:t>
      </w:r>
    </w:p>
    <w:p>
      <w:pPr>
        <w:pStyle w:val="BodyText"/>
      </w:pPr>
      <w:r>
        <w:rPr>
          <w:b/>
          <w:bCs/>
        </w:rPr>
        <w:t xml:space="preserve">1. The</w:t>
      </w:r>
      <w:r>
        <w:rPr>
          <w:b/>
          <w:bCs/>
        </w:rPr>
        <w:t xml:space="preserve"> </w:t>
      </w:r>
      <w:r>
        <w:rPr>
          <w:b/>
          <w:bCs/>
        </w:rPr>
        <w:t xml:space="preserve">“What”</w:t>
      </w:r>
      <w:r>
        <w:rPr>
          <w:b/>
          <w:bCs/>
        </w:rPr>
        <w:t xml:space="preserve"> </w:t>
      </w:r>
      <w:r>
        <w:rPr>
          <w:b/>
          <w:bCs/>
        </w:rPr>
        <w:t xml:space="preserve">versus</w:t>
      </w:r>
      <w:r>
        <w:rPr>
          <w:b/>
          <w:bCs/>
        </w:rPr>
        <w:t xml:space="preserve"> </w:t>
      </w:r>
      <w:r>
        <w:rPr>
          <w:b/>
          <w:bCs/>
        </w:rPr>
        <w:t xml:space="preserve">“How”</w:t>
      </w:r>
      <w:r>
        <w:rPr>
          <w:b/>
          <w:bCs/>
        </w:rPr>
        <w:t xml:space="preserve"> </w:t>
      </w:r>
      <w:r>
        <w:rPr>
          <w:b/>
          <w:bCs/>
        </w:rPr>
        <w:t xml:space="preserve">Distinction</w:t>
      </w:r>
    </w:p>
    <w:p>
      <w:pPr>
        <w:pStyle w:val="BodyText"/>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w:t>
      </w:r>
      <w:r>
        <w:t xml:space="preserve">, AI coding assistants like GitHub Copilot or Amazon</w:t>
      </w:r>
      <w:r>
        <w:t xml:space="preserve"> </w:t>
      </w:r>
      <w:r>
        <w:t xml:space="preserve">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p>
      <w:pPr>
        <w:pStyle w:val="BodyText"/>
      </w:pPr>
      <w:r>
        <w:rPr>
          <w:b/>
          <w:bCs/>
        </w:rPr>
        <w:t xml:space="preserve">2. The Decisioning Framework and Four-Quadrant Enhancement Model</w:t>
      </w:r>
    </w:p>
    <w:p>
      <w:pPr>
        <w:pStyle w:val="BodyText"/>
      </w:pPr>
      <w:r>
        <w:t xml:space="preserve">Through our research across industries, we’ve identified three key questions that help organizations find their enhancement sweet spot</w:t>
      </w:r>
      <w:r>
        <w:t xml:space="preserve">:</w:t>
      </w:r>
    </w:p>
    <w:p>
      <w:pPr>
        <w:numPr>
          <w:ilvl w:val="0"/>
          <w:numId w:val="1010"/>
        </w:numPr>
      </w:pPr>
      <w:r>
        <w:t xml:space="preserve">What decisions require contextual understanding that AI cannot replicate?</w:t>
      </w:r>
    </w:p>
    <w:p>
      <w:pPr>
        <w:numPr>
          <w:ilvl w:val="0"/>
          <w:numId w:val="1010"/>
        </w:numPr>
      </w:pPr>
      <w:r>
        <w:t xml:space="preserve">Where can AI’s pattern recognition</w:t>
      </w:r>
      <w:r>
        <w:t xml:space="preserve"> </w:t>
      </w:r>
      <w:r>
        <w:t xml:space="preserve">complement human insight?</w:t>
      </w:r>
    </w:p>
    <w:p>
      <w:pPr>
        <w:numPr>
          <w:ilvl w:val="0"/>
          <w:numId w:val="1010"/>
        </w:numPr>
      </w:pPr>
      <w:r>
        <w:t xml:space="preserve">How can workflow be restructured to leverage both human and AI strengths?</w:t>
      </w:r>
    </w:p>
    <w:p>
      <w:pPr>
        <w:pStyle w:val="FirstParagraph"/>
      </w:pPr>
      <w:r>
        <w:t xml:space="preserve">The answers vary by industry, but the framework remains consistent. At a leading radiology</w:t>
      </w:r>
      <w:r>
        <w:t xml:space="preserve"> </w:t>
      </w:r>
      <w:r>
        <w:t xml:space="preserve">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96" w:name="fig-enhancement-framework"/>
          <w:p>
            <w:pPr>
              <w:jc w:val="center"/>
            </w:pPr>
            <w:pPr>
              <w:jc w:val="start"/>
              <w:spacing w:before="200"/>
              <w:pStyle w:val="ImageCaption"/>
            </w:pPr>
            <w:r>
              <w:t xml:space="preserve">Figure 6.1</w:t>
            </w:r>
          </w:p>
          <w:bookmarkEnd w:id="96"/>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w:t>
      </w:r>
      <w:r>
        <w:t xml:space="preserve"> </w:t>
      </w:r>
      <w:r>
        <w:t xml:space="preserve">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w:t>
      </w:r>
      <w:r>
        <w:t xml:space="preserve"> </w:t>
      </w:r>
      <w:r>
        <w:t xml:space="preserve">with significant data components all reside here. These activities benefit most from thoughtful human-AI collaboration</w:t>
      </w:r>
      <w:r>
        <w:t xml:space="preserve">.</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97"/>
    <w:bookmarkStart w:id="98"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p>
      <w:pPr>
        <w:pStyle w:val="BodyText"/>
      </w:pPr>
      <w:r>
        <w:rPr>
          <w:b/>
          <w:bCs/>
        </w:rPr>
        <w:t xml:space="preserve">Healthcare: Augmented Diagnostics</w:t>
      </w:r>
    </w:p>
    <w:p>
      <w:pPr>
        <w:pStyle w:val="BodyText"/>
      </w:pPr>
      <w:r>
        <w:t xml:space="preserve">Contrary to early predictions that AI would replace radiologists, the most successful implementations enhance radiologists’ capabilities rather than attempting to substitute for them. Mayo Clinic</w:t>
      </w:r>
      <w:r>
        <w:t xml:space="preserve">’s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p>
      <w:pPr>
        <w:pStyle w:val="BodyText"/>
      </w:pPr>
      <w:r>
        <w:rPr>
          <w:b/>
          <w:bCs/>
        </w:rPr>
        <w:t xml:space="preserve">Financial Services</w:t>
      </w:r>
      <w:r>
        <w:rPr>
          <w:b/>
          <w:bCs/>
        </w:rPr>
        <w:t xml:space="preserve">: Enhanced Risk Assessment</w:t>
      </w:r>
    </w:p>
    <w:p>
      <w:pPr>
        <w:pStyle w:val="BodyText"/>
      </w:pPr>
      <w:r>
        <w:t xml:space="preserve">JPMorgan</w:t>
      </w:r>
      <w:r>
        <w:t xml:space="preserve">’s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r>
        <w:t xml:space="preserve">.</w:t>
      </w:r>
    </w:p>
    <w:p>
      <w:pPr>
        <w:pStyle w:val="BodyText"/>
      </w:pPr>
      <w:r>
        <w:rPr>
          <w:b/>
          <w:bCs/>
        </w:rPr>
        <w:t xml:space="preserve">Manufacturing and Transportation</w:t>
      </w:r>
      <w:r>
        <w:rPr>
          <w:b/>
          <w:bCs/>
        </w:rPr>
        <w:t xml:space="preserve">: Enhanced Human Capabilities</w:t>
      </w:r>
    </w:p>
    <w:p>
      <w:pPr>
        <w:pStyle w:val="BodyText"/>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p>
      <w:pPr>
        <w:pStyle w:val="BodyText"/>
      </w:pPr>
      <w:r>
        <w:rPr>
          <w:b/>
          <w:bCs/>
        </w:rPr>
        <w:t xml:space="preserve">Creative Industries</w:t>
      </w:r>
      <w:r>
        <w:rPr>
          <w:b/>
          <w:bCs/>
        </w:rPr>
        <w:t xml:space="preserve">: Collaborative Design</w:t>
      </w:r>
    </w:p>
    <w:p>
      <w:pPr>
        <w:pStyle w:val="BodyText"/>
      </w:pPr>
      <w:r>
        <w:t xml:space="preserve">While early AI art generators prompted fears about machines replacing creative professionals, the enhancement approach is proving more valuable. Design firm IDEO’s work with generative AI</w:t>
      </w:r>
      <w:r>
        <w:t xml:space="preserve"> </w:t>
      </w:r>
      <w:r>
        <w:t xml:space="preserve">tools shows how this plays out in practice.</w:t>
      </w:r>
    </w:p>
    <w:p>
      <w:pPr>
        <w:pStyle w:val="BodyText"/>
      </w:pPr>
      <w:r>
        <w:t xml:space="preserve">Their designers use AI systems to rapidly generate design variations based on initial parameters</w:t>
      </w:r>
      <w:r>
        <w:t xml:space="preserve">.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w:t>
      </w:r>
      <w:r>
        <w:t xml:space="preserve"> </w:t>
      </w:r>
      <w:r>
        <w:t xml:space="preserve">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98"/>
    <w:bookmarkStart w:id="99"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p>
      <w:pPr>
        <w:pStyle w:val="BodyText"/>
      </w:pPr>
      <w:r>
        <w:rPr>
          <w:b/>
          <w:bCs/>
        </w:rPr>
        <w:t xml:space="preserve">The Role of Management and Cultural Considerations</w:t>
      </w:r>
    </w:p>
    <w:p>
      <w:pPr>
        <w:pStyle w:val="BodyText"/>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w:t>
      </w:r>
      <w:r>
        <w:t xml:space="preserve"> </w:t>
      </w:r>
      <w:r>
        <w:t xml:space="preserve">“human centrality</w:t>
      </w:r>
      <w:r>
        <w:t xml:space="preserve">”</w:t>
      </w:r>
      <w:r>
        <w:t xml:space="preserve"> </w:t>
      </w:r>
      <w:r>
        <w:t xml:space="preserve">– the principle that AI serves human objectives rather than the reverse. This requires careful attention to organizational culture</w:t>
      </w:r>
      <w:r>
        <w:t xml:space="preserve">. When Microsoft deployed AI tools across its engineering teams, success came from emphasizing how the technology would enhance rather than replace human capabilities.</w:t>
      </w:r>
    </w:p>
    <w:p>
      <w:pPr>
        <w:pStyle w:val="BodyText"/>
      </w:pPr>
      <w:r>
        <w:rPr>
          <w:b/>
          <w:bCs/>
        </w:rPr>
        <w:t xml:space="preserve">Start with Human Needs, Not AI Capabilities</w:t>
      </w:r>
    </w:p>
    <w:p>
      <w:pPr>
        <w:pStyle w:val="BodyText"/>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See for example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p>
      <w:pPr>
        <w:pStyle w:val="BodyText"/>
      </w:pPr>
      <w:r>
        <w:rPr>
          <w:b/>
          <w:bCs/>
        </w:rPr>
        <w:t xml:space="preserve">Design for Appropriate Division of Labor</w:t>
      </w:r>
    </w:p>
    <w:p>
      <w:pPr>
        <w:pStyle w:val="BodyText"/>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w:t>
      </w:r>
      <w:r>
        <w:t xml:space="preserve">’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p>
      <w:pPr>
        <w:pStyle w:val="BodyText"/>
      </w:pPr>
      <w:r>
        <w:rPr>
          <w:b/>
          <w:bCs/>
        </w:rPr>
        <w:t xml:space="preserve">Build Trust Through Appropriate Transparency</w:t>
      </w:r>
    </w:p>
    <w:p>
      <w:pPr>
        <w:pStyle w:val="BodyText"/>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p>
      <w:pPr>
        <w:pStyle w:val="BodyText"/>
      </w:pPr>
      <w:r>
        <w:rPr>
          <w:b/>
          <w:bCs/>
        </w:rPr>
        <w:t xml:space="preserve">Evolve Through Iteration</w:t>
      </w:r>
    </w:p>
    <w:p>
      <w:pPr>
        <w:pStyle w:val="BodyText"/>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w:t>
      </w:r>
      <w:r>
        <w:t xml:space="preserve">’s implementation of AI in search has evolved through continuous refinement based on user interactions. The current system represents years of iterative development to find the optimal balance between algorithmic processing and human oversight.</w:t>
      </w:r>
    </w:p>
    <w:bookmarkEnd w:id="99"/>
    <w:bookmarkStart w:id="100"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p>
      <w:pPr>
        <w:pStyle w:val="BodyText"/>
      </w:pPr>
      <w:r>
        <w:rPr>
          <w:b/>
          <w:bCs/>
        </w:rPr>
        <w:t xml:space="preserve">1. Process Inventory and Mapping</w:t>
      </w:r>
    </w:p>
    <w:p>
      <w:pPr>
        <w:pStyle w:val="BodyText"/>
      </w:pPr>
      <w:r>
        <w:t xml:space="preserve">Begin by inventorying key processes across your organization. For each process, evaluate:</w:t>
      </w:r>
    </w:p>
    <w:p>
      <w:pPr>
        <w:numPr>
          <w:ilvl w:val="0"/>
          <w:numId w:val="1011"/>
        </w:numPr>
      </w:pPr>
      <w:r>
        <w:t xml:space="preserve">Current performance metrics and pain points</w:t>
      </w:r>
    </w:p>
    <w:p>
      <w:pPr>
        <w:numPr>
          <w:ilvl w:val="0"/>
          <w:numId w:val="1011"/>
        </w:numPr>
      </w:pPr>
      <w:r>
        <w:t xml:space="preserve">The nature of human contribution (judgment, creativity, empathy, etc.)</w:t>
      </w:r>
    </w:p>
    <w:p>
      <w:pPr>
        <w:numPr>
          <w:ilvl w:val="0"/>
          <w:numId w:val="1011"/>
        </w:numPr>
      </w:pPr>
      <w:r>
        <w:t xml:space="preserve">Data availability and quality</w:t>
      </w:r>
    </w:p>
    <w:p>
      <w:pPr>
        <w:numPr>
          <w:ilvl w:val="0"/>
          <w:numId w:val="1011"/>
        </w:numPr>
      </w:pPr>
      <w:r>
        <w:t xml:space="preserve">Potential value of enhancement</w:t>
      </w:r>
    </w:p>
    <w:p>
      <w:pPr>
        <w:pStyle w:val="FirstParagraph"/>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2"/>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2"/>
        </w:numPr>
      </w:pPr>
      <w:r>
        <w:rPr>
          <w:b/>
          <w:bCs/>
        </w:rPr>
        <w:t xml:space="preserve">Feedback loops</w:t>
      </w:r>
      <w:r>
        <w:t xml:space="preserve">: Humans must be able to override and correct AI when necessary. This isn’t just about catching errors – it’s about maintaining human agency</w:t>
      </w:r>
      <w:r>
        <w:t xml:space="preserve"> </w:t>
      </w:r>
      <w:r>
        <w:t xml:space="preserve">and improving the system over time.</w:t>
      </w:r>
    </w:p>
    <w:p>
      <w:pPr>
        <w:numPr>
          <w:ilvl w:val="0"/>
          <w:numId w:val="1012"/>
        </w:numPr>
      </w:pPr>
      <w:r>
        <w:rPr>
          <w:b/>
          <w:bCs/>
        </w:rPr>
        <w:t xml:space="preserve">Training and adaptation</w:t>
      </w:r>
      <w:r>
        <w:t xml:space="preserve">: Workers need support in developing new skills that complement AI capabilities. The goal isn’t to compete with AI but to leverage it effectively.</w:t>
      </w:r>
    </w:p>
    <w:p>
      <w:pPr>
        <w:pStyle w:val="FirstParagraph"/>
      </w:pPr>
      <w:r>
        <w:rPr>
          <w:b/>
          <w:bCs/>
        </w:rPr>
        <w:t xml:space="preserve">2. Pilot Selection and Design</w:t>
      </w:r>
    </w:p>
    <w:p>
      <w:pPr>
        <w:pStyle w:val="BodyText"/>
      </w:pPr>
      <w:r>
        <w:t xml:space="preserve">Select 1-3 high-potential processes for initial enhancement pilots. For each pilot:</w:t>
      </w:r>
    </w:p>
    <w:p>
      <w:pPr>
        <w:numPr>
          <w:ilvl w:val="0"/>
          <w:numId w:val="1013"/>
        </w:numPr>
      </w:pPr>
      <w:r>
        <w:t xml:space="preserve">Define clear success metrics that capture both efficiency and effectiveness</w:t>
      </w:r>
    </w:p>
    <w:p>
      <w:pPr>
        <w:numPr>
          <w:ilvl w:val="0"/>
          <w:numId w:val="1013"/>
        </w:numPr>
      </w:pPr>
      <w:r>
        <w:t xml:space="preserve">Design for appropriate division of labor between human and AI</w:t>
      </w:r>
    </w:p>
    <w:p>
      <w:pPr>
        <w:numPr>
          <w:ilvl w:val="0"/>
          <w:numId w:val="1013"/>
        </w:numPr>
      </w:pPr>
      <w:r>
        <w:t xml:space="preserve">Establish feedback mechanisms to capture user experience and suggestions</w:t>
      </w:r>
    </w:p>
    <w:p>
      <w:pPr>
        <w:numPr>
          <w:ilvl w:val="0"/>
          <w:numId w:val="1013"/>
        </w:numPr>
      </w:pPr>
      <w:r>
        <w:t xml:space="preserve">Plan for iteration based on early results</w:t>
      </w:r>
    </w:p>
    <w:p>
      <w:pPr>
        <w:pStyle w:val="FirstParagraph"/>
      </w:pPr>
      <w:r>
        <w:t xml:space="preserve">Resist the temptation to tackle too many processes simultaneously. Enhancement requires careful design of the human-AI interaction, which benefits from focused attention and learning from early implementations.</w:t>
      </w:r>
    </w:p>
    <w:p>
      <w:pPr>
        <w:pStyle w:val="BodyText"/>
      </w:pPr>
      <w:r>
        <w:rPr>
          <w:b/>
          <w:bCs/>
        </w:rPr>
        <w:t xml:space="preserve">3. Capability Building</w:t>
      </w:r>
    </w:p>
    <w:p>
      <w:pPr>
        <w:pStyle w:val="BodyText"/>
      </w:pPr>
      <w:r>
        <w:t xml:space="preserve">Successful enhancement requires new capabilities across the organization:</w:t>
      </w:r>
    </w:p>
    <w:p>
      <w:pPr>
        <w:numPr>
          <w:ilvl w:val="0"/>
          <w:numId w:val="1014"/>
        </w:numPr>
      </w:pPr>
      <w:r>
        <w:t xml:space="preserve">Technical teams need skills in human-centered design, not just AI development</w:t>
      </w:r>
    </w:p>
    <w:p>
      <w:pPr>
        <w:numPr>
          <w:ilvl w:val="0"/>
          <w:numId w:val="1014"/>
        </w:numPr>
      </w:pPr>
      <w:r>
        <w:t xml:space="preserve">Domain experts need understanding of AI capabilities and limitations</w:t>
      </w:r>
    </w:p>
    <w:p>
      <w:pPr>
        <w:numPr>
          <w:ilvl w:val="0"/>
          <w:numId w:val="1014"/>
        </w:numPr>
      </w:pPr>
      <w:r>
        <w:t xml:space="preserve">Leadership needs frameworks for evaluating enhancement opportunities</w:t>
      </w:r>
    </w:p>
    <w:p>
      <w:pPr>
        <w:numPr>
          <w:ilvl w:val="0"/>
          <w:numId w:val="1014"/>
        </w:numPr>
      </w:pPr>
      <w:r>
        <w:t xml:space="preserve">Everyone needs appropriate mental models for human-AI collaboration</w:t>
      </w:r>
    </w:p>
    <w:p>
      <w:pPr>
        <w:pStyle w:val="FirstParagraph"/>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p>
      <w:pPr>
        <w:pStyle w:val="BodyText"/>
      </w:pPr>
      <w:r>
        <w:rPr>
          <w:b/>
          <w:bCs/>
        </w:rPr>
        <w:t xml:space="preserve">4. Scaling and Evolution</w:t>
      </w:r>
    </w:p>
    <w:p>
      <w:pPr>
        <w:pStyle w:val="BodyText"/>
      </w:pPr>
      <w:r>
        <w:t xml:space="preserve">As pilots demonstrate value, develop plans for scaling successful approaches while continuing to refine the human-AI interaction:</w:t>
      </w:r>
    </w:p>
    <w:p>
      <w:pPr>
        <w:numPr>
          <w:ilvl w:val="0"/>
          <w:numId w:val="1015"/>
        </w:numPr>
      </w:pPr>
      <w:r>
        <w:t xml:space="preserve">Establish governance mechanisms to ensure consistent implementation while allowing for domain-specific adaptation</w:t>
      </w:r>
    </w:p>
    <w:p>
      <w:pPr>
        <w:numPr>
          <w:ilvl w:val="0"/>
          <w:numId w:val="1015"/>
        </w:numPr>
      </w:pPr>
      <w:r>
        <w:t xml:space="preserve">Build feedback loops to capture learning and identify improvement opportunities</w:t>
      </w:r>
    </w:p>
    <w:p>
      <w:pPr>
        <w:numPr>
          <w:ilvl w:val="0"/>
          <w:numId w:val="1015"/>
        </w:numPr>
      </w:pPr>
      <w:r>
        <w:t xml:space="preserve">Monitor for unintended consequences and adaptation needs</w:t>
      </w:r>
    </w:p>
    <w:p>
      <w:pPr>
        <w:numPr>
          <w:ilvl w:val="0"/>
          <w:numId w:val="1015"/>
        </w:numPr>
      </w:pPr>
      <w:r>
        <w:t xml:space="preserve">Continuously reassess the optimal division of labor as capabilities evolve</w:t>
      </w:r>
    </w:p>
    <w:bookmarkEnd w:id="100"/>
    <w:bookmarkStart w:id="101"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p>
      <w:pPr>
        <w:pStyle w:val="BodyText"/>
      </w:pPr>
      <w:r>
        <w:rPr>
          <w:b/>
          <w:bCs/>
        </w:rPr>
        <w:t xml:space="preserve">Talent Attraction and Retention</w:t>
      </w:r>
    </w:p>
    <w:p>
      <w:pPr>
        <w:pStyle w:val="BodyText"/>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p>
      <w:pPr>
        <w:pStyle w:val="BodyText"/>
      </w:pPr>
      <w:r>
        <w:rPr>
          <w:b/>
          <w:bCs/>
        </w:rPr>
        <w:t xml:space="preserve">Sustainable Competitive Advantage</w:t>
      </w:r>
    </w:p>
    <w:p>
      <w:pPr>
        <w:pStyle w:val="BodyText"/>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p>
      <w:pPr>
        <w:pStyle w:val="BodyText"/>
      </w:pPr>
      <w:r>
        <w:rPr>
          <w:b/>
          <w:bCs/>
        </w:rPr>
        <w:t xml:space="preserve">System Resilience</w:t>
      </w:r>
    </w:p>
    <w:p>
      <w:pPr>
        <w:pStyle w:val="BodyText"/>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p>
      <w:pPr>
        <w:pStyle w:val="BodyText"/>
      </w:pPr>
      <w:r>
        <w:rPr>
          <w:b/>
          <w:bCs/>
        </w:rPr>
        <w:t xml:space="preserve">Looking Forward: The Human-Centered Future of AI</w:t>
      </w:r>
    </w:p>
    <w:p>
      <w:pPr>
        <w:pStyle w:val="BodyText"/>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Recall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w:t>
      </w:r>
      <w:r>
        <w:t xml:space="preserv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w:t>
      </w:r>
      <w:r>
        <w:t xml:space="preserve"> </w:t>
      </w:r>
      <w:r>
        <w:t xml:space="preserve">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101"/>
    <w:bookmarkEnd w:id="102"/>
    <w:bookmarkStart w:id="113" w:name="the-implementation-challenge"/>
    <w:p>
      <w:pPr>
        <w:pStyle w:val="Heading1"/>
      </w:pPr>
      <w:r>
        <w:t xml:space="preserve">7. The Implementation Challenge</w:t>
      </w:r>
    </w:p>
    <w:p>
      <w:pPr>
        <w:pStyle w:val="FirstParagraph"/>
      </w:pPr>
      <w:r>
        <w:t xml:space="preserve">Practical strategies for introducing AI while maintaining human agency</w:t>
      </w:r>
    </w:p>
    <w:p>
      <w:pPr>
        <w:pStyle w:val="BodyText"/>
      </w:pPr>
      <w:r>
        <w:br/>
      </w:r>
    </w:p>
    <w:p>
      <w:pPr>
        <w:pStyle w:val="BodyText"/>
      </w:pPr>
      <w:r>
        <w:t xml:space="preserve">The gap between artificial intelligence</w:t>
      </w:r>
      <w:r>
        <w:t xml:space="preserve">’s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Recall the Fortune 500 consumer products company we mentioned in Chapter 6. Their project team, tasked with finding AI-driven productivity gains from Microsoft</w:t>
      </w:r>
      <w:r>
        <w:t xml:space="preserve">’s CoPilot suite, discovered that while the technology could indeed compose email replies and summarize meetings, users spent as much time editing the AI’s output as they would have spent writing from scratch. The AI was attempting to replace rather than enhance human capabilities</w:t>
      </w:r>
      <w:r>
        <w:t xml:space="preserve">.</w:t>
      </w:r>
    </w:p>
    <w:p>
      <w:pPr>
        <w:pStyle w:val="BodyText"/>
      </w:pPr>
      <w:r>
        <w:t xml:space="preserve">This pattern repeats across industries. Companies implement AI solutions looking for quick automation</w:t>
      </w:r>
      <w:r>
        <w:t xml:space="preserve"> </w:t>
      </w:r>
      <w:r>
        <w:t xml:space="preserve">wins, only to discover that the technology works best when designed to augment human judgment</w:t>
      </w:r>
      <w:r>
        <w:t xml:space="preserve"> </w:t>
      </w:r>
      <w:r>
        <w:t xml:space="preserve">rather than replace it. The key to successful implementation lies in understanding the distinct roles of human and artificial intelligence, then building systems that leverage the strengths of both.</w:t>
      </w:r>
    </w:p>
    <w:bookmarkStart w:id="103" w:name="the-enhancement-framework-in-practice"/>
    <w:p>
      <w:pPr>
        <w:pStyle w:val="Heading2"/>
      </w:pPr>
      <w:r>
        <w:t xml:space="preserve">7.1 The Enhancement</w:t>
      </w:r>
      <w:r>
        <w:t xml:space="preserve"> </w:t>
      </w:r>
      <w:r>
        <w:t xml:space="preserve">Framework in Practice</w:t>
      </w:r>
    </w:p>
    <w:p>
      <w:pPr>
        <w:pStyle w:val="FirstParagraph"/>
      </w:pPr>
      <w:r>
        <w:t xml:space="preserve">As we explored in Chapter 3, a clear framework for distinguishing between tasks suitable for automation versus those that require human enhancement is essential. This distinction often maps to what we have described as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better suited for enhancement.</w:t>
      </w:r>
    </w:p>
    <w:p>
      <w:pPr>
        <w:pStyle w:val="BodyText"/>
      </w:pPr>
      <w:r>
        <w:t xml:space="preserve">In financial services</w:t>
      </w:r>
      <w:r>
        <w:t xml:space="preserve">, AI can process market data and generate trading signals at superhuman speed (the</w:t>
      </w:r>
      <w:r>
        <w:t xml:space="preserve"> </w:t>
      </w:r>
      <w:r>
        <w:t xml:space="preserve">“how”</w:t>
      </w:r>
      <w:r>
        <w:t xml:space="preserve">), but successful firms keep humans in charge of setting strategy and risk parameters</w:t>
      </w:r>
      <w:r>
        <w:t xml:space="preserve"> </w:t>
      </w:r>
      <w:r>
        <w:t xml:space="preserve">(the</w:t>
      </w:r>
      <w:r>
        <w:t xml:space="preserve"> </w:t>
      </w:r>
      <w:r>
        <w:t xml:space="preserve">“what”</w:t>
      </w:r>
      <w:r>
        <w:t xml:space="preserve">). JPMorgan</w:t>
      </w:r>
      <w:r>
        <w:t xml:space="preserve">‘s implementation of AI in its trading operations demonstrates this principle. Rather than attempting to fully automate trading decisions, the bank uses AI to enhance traders’</w:t>
      </w:r>
      <w:r>
        <w:t xml:space="preserve"> </w:t>
      </w:r>
      <w:r>
        <w:t xml:space="preserve">capabilities by surfacing relevant patterns and anomalies while leaving final decisions to human judgment.</w:t>
      </w:r>
    </w:p>
    <w:bookmarkEnd w:id="103"/>
    <w:bookmarkStart w:id="104"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w:t>
      </w:r>
      <w:r>
        <w:t xml:space="preserve"> </w:t>
      </w:r>
      <w:r>
        <w:t xml:space="preserve">sector offers instructive examples. Successful implementations of AI in medical diagnosis</w:t>
      </w:r>
      <w:r>
        <w:t xml:space="preserve"> </w:t>
      </w:r>
      <w:r>
        <w:t xml:space="preserve">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p>
      <w:pPr>
        <w:pStyle w:val="BodyText"/>
      </w:pPr>
      <w:r>
        <w:t xml:space="preserve">Mayo Clinic</w:t>
      </w:r>
      <w:r>
        <w:t xml:space="preserve">’s deployment of AI tools in radiology</w:t>
      </w:r>
      <w:r>
        <w:t xml:space="preserve"> </w:t>
      </w:r>
      <w:r>
        <w:t xml:space="preserve">exemplifies this approach. Their systems don’t simply classify images as</w:t>
      </w:r>
      <w:r>
        <w:t xml:space="preserve"> </w:t>
      </w:r>
      <w:r>
        <w:t xml:space="preserve">“normal”</w:t>
      </w:r>
      <w:r>
        <w:t xml:space="preserve"> </w:t>
      </w:r>
      <w:r>
        <w:t xml:space="preserve">or</w:t>
      </w:r>
      <w:r>
        <w:t xml:space="preserve"> </w:t>
      </w:r>
      <w:r>
        <w:t xml:space="preserve">“abnormal.”</w:t>
      </w:r>
      <w:r>
        <w:t xml:space="preserve"> </w:t>
      </w:r>
      <w:r>
        <w:t xml:space="preserve">Instead, they highlight specific areas of potential concern and explain the features that triggered the alert. This gives radiologists both valuable information and critical context, allowing them to exercise professional judgment informed by the AI’s analysis.</w:t>
      </w:r>
    </w:p>
    <w:bookmarkEnd w:id="104"/>
    <w:bookmarkStart w:id="105" w:name="Xa73fbb0a85bc9b228b86e271576e45008ab799a"/>
    <w:p>
      <w:pPr>
        <w:pStyle w:val="Heading2"/>
      </w:pPr>
      <w:r>
        <w:t xml:space="preserve">7.3 The Training Challenge: Beyond Technical Skills</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AeroVironment’s implementation of AI in military applications is a telling case.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p>
      <w:pPr>
        <w:pStyle w:val="BodyText"/>
      </w:pPr>
      <w:r>
        <w:t xml:space="preserve">The most effective training programs go beyond button-pushing instructions to develop a proficiency akin to</w:t>
      </w:r>
      <w:r>
        <w:t xml:space="preserve"> </w:t>
      </w:r>
      <w:r>
        <w:t xml:space="preserve">“AI literacy</w:t>
      </w:r>
      <w:r>
        <w:t xml:space="preserve">”</w:t>
      </w:r>
      <w:r>
        <w:t xml:space="preserve"> </w:t>
      </w:r>
      <w:r>
        <w:t xml:space="preserve">- a sophisticated understanding of what AI does well, where it struggles, and how to evaluate its outputs critically. This requires a combination of technical knowledge and domain expertise.</w:t>
      </w:r>
    </w:p>
    <w:p>
      <w:pPr>
        <w:pStyle w:val="BodyText"/>
      </w:pPr>
      <w:r>
        <w:t xml:space="preserve">Goldman Sachs</w:t>
      </w:r>
      <w:r>
        <w:t xml:space="preserve"> </w:t>
      </w:r>
      <w:r>
        <w:t xml:space="preserve">takes this approach with their AI-enhanced investment tools. Analysts learn not just how to use the tools but how to identify situations where the AI’s recommendations might be biased by historical patterns that no longer apply or where additional human judgment is crucial. This balanced approach maintains the human element while leveraging AI’s computational strengths.</w:t>
      </w:r>
    </w:p>
    <w:bookmarkEnd w:id="105"/>
    <w:bookmarkStart w:id="106" w:name="measuring-success-beyond-efficiency"/>
    <w:p>
      <w:pPr>
        <w:pStyle w:val="Heading2"/>
      </w:pPr>
      <w:r>
        <w:t xml:space="preserve">7.4 Measuring Success Beyond Efficiency</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r>
        <w:t xml:space="preserve">. This approach gives too much weight to all the things that can be measured, and not enough attention to those that cannot be.</w:t>
      </w:r>
    </w:p>
    <w:p>
      <w:pPr>
        <w:pStyle w:val="BodyText"/>
      </w:pPr>
      <w:r>
        <w:t xml:space="preserve">Palantir</w:t>
      </w:r>
      <w:r>
        <w:t xml:space="preserve">’s implementations offer a model for better measurement. Rather than focusing solely on automation metrics, they measure success through the quality of human-AI collaboration</w:t>
      </w:r>
      <w:r>
        <w:t xml:space="preserve"> </w:t>
      </w:r>
      <w:r>
        <w:t xml:space="preserve">- tracking how effectively analysts use AI tools to reach better conclusions faster. This approach recognizes that AI’s value lies not in replacing human analysts but in enhancing their capabilities.</w:t>
      </w:r>
    </w:p>
    <w:p>
      <w:pPr>
        <w:pStyle w:val="BodyText"/>
      </w:pPr>
      <w:r>
        <w:t xml:space="preserve">Effective measurement frameworks consider both quantitative improvements (time saved, volume processed) and qualitative outcomes (decision quality, novel insights generated, unexpected connections identified). The latter often represent the true value of enhancement approaches but require more sophisticated measurement approaches.</w:t>
      </w:r>
    </w:p>
    <w:p>
      <w:pPr>
        <w:pStyle w:val="BodyText"/>
      </w:pPr>
      <w:r>
        <w:t xml:space="preserve">A major healthcare system found that its AI-assisted diagnostic system reduced the time radiologists spent reviewing normal scans by 31%, a clear efficiency gain. But the more valuable outcome was a 22% increase in early detection of subtle abnormalities that might otherwise have been missed. This qualitative improvement in diagnostic accuracy represented the true value of the system, though it was harder to measure than simple time savings.</w:t>
      </w:r>
    </w:p>
    <w:bookmarkEnd w:id="106"/>
    <w:bookmarkStart w:id="107" w:name="common-implementation-pitfalls"/>
    <w:p>
      <w:pPr>
        <w:pStyle w:val="Heading2"/>
      </w:pPr>
      <w:r>
        <w:t xml:space="preserve">7.5 Common Implementation Pitfalls</w:t>
      </w:r>
    </w:p>
    <w:p>
      <w:pPr>
        <w:pStyle w:val="FirstParagraph"/>
      </w:pPr>
      <w:r>
        <w:t xml:space="preserve">Several common mistakes consistently undermine AI implementation efforts. First among these is overemphasis on automation. Organizations often focus on fully automating processes rather than enhancing human capabilities. This leads to resistance from users and missed opportunities for genuine enhancement.</w:t>
      </w:r>
    </w:p>
    <w:p>
      <w:pPr>
        <w:pStyle w:val="BodyText"/>
      </w:pPr>
      <w:r>
        <w:t xml:space="preserve">Another frequent error is insufficient training in judgment. Most training programs focus on technical operation rather than helping users understand when and how to rely on AI assistance. This leads to either over-reliance on AI recommendations or underutilization of AI capabilities.</w:t>
      </w:r>
    </w:p>
    <w:p>
      <w:pPr>
        <w:pStyle w:val="BodyText"/>
      </w:pPr>
      <w:r>
        <w:t xml:space="preserve">Poor integration with existing workflows represents another significant challenge. AI tools are often implemented as standalone solutions rather than being integrated into existing work processes. This creates friction for users and reduces adoption and effectiveness.</w:t>
      </w:r>
    </w:p>
    <w:p>
      <w:pPr>
        <w:pStyle w:val="BodyText"/>
      </w:pPr>
      <w:r>
        <w:t xml:space="preserve">Many implementations also suffer from a lack of clear boundaries regarding which decisions require human judgment and which can be delegated to AI. Without these guidelines, organizations often drift toward excessive automation, undermining human judgment and creating potential risks.</w:t>
      </w:r>
    </w:p>
    <w:p>
      <w:pPr>
        <w:pStyle w:val="BodyText"/>
      </w:pPr>
      <w:r>
        <w:t xml:space="preserve">Finally, inadequate feedback loops</w:t>
      </w:r>
      <w:r>
        <w:t xml:space="preserve"> </w:t>
      </w:r>
      <w:r>
        <w:t xml:space="preserve">plague many AI implementations. Without effective mechanisms for humans to provide feedback on AI performance and for that feedback to improve the system, AI systems fail to improve over time and users lose confidence in their reliability.</w:t>
      </w:r>
    </w:p>
    <w:bookmarkEnd w:id="107"/>
    <w:bookmarkStart w:id="108"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The process starts with identifying where human judgment adds the most value in your organization. These areas are typically candidates for enhancement rather than automation.</w:t>
      </w:r>
    </w:p>
    <w:p>
      <w:pPr>
        <w:pStyle w:val="BodyText"/>
      </w:pPr>
      <w:r>
        <w:t xml:space="preserve">McKinsey’s implementation of AI tools for their consulting practice demonstrates this approach. They first mapped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BodyText"/>
      </w:pPr>
      <w:r>
        <w:t xml:space="preserve">Designing for transparency represents another critical element. AI systems should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BodyText"/>
      </w:pPr>
      <w:r>
        <w:t xml:space="preserve">Microsoft’s implementation of AI coding assistants demonstrates this principle.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BodyText"/>
      </w:pPr>
      <w:r>
        <w:t xml:space="preserve">Gradual integration provides another key to success. Beginning with small-scale implementations allows users to build trust and understanding of the AI’s capabilities and limitations. This approach creates opportunities for learning and adjustment without risking major disruption.</w:t>
      </w:r>
    </w:p>
    <w:p>
      <w:pPr>
        <w:pStyle w:val="BodyText"/>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BodyText"/>
      </w:pPr>
      <w:r>
        <w:t xml:space="preserve">Establishing clear boundaries defines explicit guidelines for which decisions require human judgment and which can be delegated to AI. These boundaries should be based on careful analysis of risk, regulatory requirements, and the comparative advantages of human and artificial intelligence.</w:t>
      </w:r>
    </w:p>
    <w:p>
      <w:pPr>
        <w:pStyle w:val="BodyText"/>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BodyText"/>
      </w:pPr>
      <w:r>
        <w:t xml:space="preserve">Building effective feedback loops creates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BodyText"/>
      </w:pPr>
      <w:r>
        <w:t xml:space="preserve">Palantir’s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bookmarkEnd w:id="108"/>
    <w:bookmarkStart w:id="109" w:name="cultural-change-management"/>
    <w:p>
      <w:pPr>
        <w:pStyle w:val="Heading2"/>
      </w:pPr>
      <w:r>
        <w:t xml:space="preserve">7.7 Cultural Change Management</w:t>
      </w:r>
    </w:p>
    <w:p>
      <w:pPr>
        <w:pStyle w:val="FirstParagraph"/>
      </w:pPr>
      <w:r>
        <w:t xml:space="preserve">The human element in AI implementation extends beyond technical considerations to encompass cultural factors. Organizations must help employees understand that AI tools are meant to enhance their capabilities, not replace them. This often requires active effort to counter fears and misconceptions about AI.</w:t>
      </w:r>
    </w:p>
    <w:p>
      <w:pPr>
        <w:pStyle w:val="BodyText"/>
      </w:pPr>
      <w:r>
        <w:t xml:space="preserve">When Starbucks</w:t>
      </w:r>
      <w:r>
        <w:t xml:space="preserve"> </w:t>
      </w:r>
      <w:r>
        <w:t xml:space="preserve">implemented AI tools for inventory management and scheduling, they emphasized how the technology would free baristas from administrative tasks to focus on customer interaction and craft beverages. This positive framing helped overcome initial resistance and accelerated adoption.</w:t>
      </w:r>
    </w:p>
    <w:p>
      <w:pPr>
        <w:pStyle w:val="BodyText"/>
      </w:pPr>
      <w:r>
        <w:t xml:space="preserve">Continuous training supports this cultural shift. As AI capabilities evolve, users need ongoing training to make effective use of new features and capabilities. This training should focus on judgment and decision-making rather than just technical operation. Organizations that invest in this ongoing development typically see higher returns on their AI investments.</w:t>
      </w:r>
    </w:p>
    <w:p>
      <w:pPr>
        <w:pStyle w:val="BodyText"/>
      </w:pPr>
      <w:r>
        <w:t xml:space="preserve">Regular review and adjustment complete the implementation cycle. Periodically reviewing the implementation’s effectiveness against its goals reveals areas where the balance between automation and enhancement needs adjustment. This iterative approach recognizes that finding the optimal human-AI collaboration requires continuous refinement.</w:t>
      </w:r>
    </w:p>
    <w:bookmarkEnd w:id="109"/>
    <w:bookmarkStart w:id="110" w:name="Xca205abd785494dc144355cb6780c8c09f24128"/>
    <w:p>
      <w:pPr>
        <w:pStyle w:val="Heading2"/>
      </w:pPr>
      <w:r>
        <w:t xml:space="preserve">7.8 Looking Ahead: The Future of Implementation</w:t>
      </w:r>
    </w:p>
    <w:p>
      <w:pPr>
        <w:pStyle w:val="FirstParagraph"/>
      </w:pPr>
      <w:r>
        <w:t xml:space="preserve">As AI capabilities continue to advance, the implementation challenge will evolve. Vector databases</w:t>
      </w:r>
      <w:r>
        <w:t xml:space="preserve">,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p>
      <w:pPr>
        <w:pStyle w:val="BodyText"/>
      </w:pPr>
      <w:r>
        <w:t xml:space="preserve">This principle extends beyond mere oversight; it recognizes that human judgment, intuition, and accountability are essential elements of effective decision-making. 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w:t>
      </w:r>
    </w:p>
    <w:p>
      <w:pPr>
        <w:pStyle w:val="BodyText"/>
      </w:pPr>
      <w:r>
        <w:t xml:space="preserve">Think of the creative industries</w:t>
      </w:r>
      <w:r>
        <w:t xml:space="preserve">, where AI tools are increasingly common but rarely trusted to work autonomously. The attempt to use AI to complete Beethoven</w:t>
      </w:r>
      <w:r>
        <w:t xml:space="preserve">’s unfinished tenth symphony, which we discussed in detail in Chapter 8, demonstrates this principle. While the AI could generate music that superficially resembled Beethoven’s style, critics and audiences alike found it lacking the essential human element that makes great art compelling.</w:t>
      </w:r>
    </w:p>
    <w:bookmarkEnd w:id="110"/>
    <w:bookmarkStart w:id="111"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p>
      <w:pPr>
        <w:pStyle w:val="BodyText"/>
      </w:pPr>
      <w:r>
        <w:t xml:space="preserve">When evaluating AI investments, look beyond technical capabilities to assess how effectively the company addresses the human element in implementation. Does the company have a clear enhancement framework</w:t>
      </w:r>
      <w:r>
        <w:t xml:space="preserve">? Do they emphasize transparency and explainability? Have they developed effective training approaches for users? Do they have mechanisms for continuous improvement based on human feedback?</w:t>
      </w:r>
    </w:p>
    <w:p>
      <w:pPr>
        <w:pStyle w:val="BodyText"/>
      </w:pPr>
      <w:r>
        <w:t xml:space="preserve">The most promising investments often come not from companies pursuing the most advanced AI capabilities but from those that most effectively integrate AI with human judgment and expertise. This enhancement-focused approach typically delivers more sustainable value than pure automation plays.</w:t>
      </w:r>
    </w:p>
    <w:bookmarkEnd w:id="111"/>
    <w:bookmarkStart w:id="112"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w:t>
      </w:r>
      <w:r>
        <w:t xml:space="preserve">. Organizations that master this shift, keeping humans central while leveraging AI’s capabilities, will be best positioned to create sustainable value in the AI era.</w:t>
      </w:r>
    </w:p>
    <w:p>
      <w:pPr>
        <w:pStyle w:val="BodyText"/>
      </w:pPr>
      <w:r>
        <w:t xml:space="preserve">The challenge isn’t primarily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p>
      <w:pPr>
        <w:pStyle w:val="BodyText"/>
      </w:pPr>
      <w:r>
        <w:t xml:space="preserve">By following the implementation principles outlined in this chapter - starting with human judgment, designing for transparency, integrating gradually, establishing clear boundaries, and building feedback loops - organizations can avoid the common pitfalls that plague many AI initiatives and instead develop systems that truly enhance human capabilities.</w:t>
      </w:r>
    </w:p>
    <w:p>
      <w:pPr>
        <w:pStyle w:val="BodyText"/>
      </w:pPr>
      <w:r>
        <w:t xml:space="preserve">The future belongs not to organizations that deploy the most sophisticated AI systems but to those that most effectively combine artificial and human intelligence, creating systems that are more powerful than either could be alone. This is the true promise of AI enhancement - and the key to successful implementation.</w:t>
      </w:r>
    </w:p>
    <w:bookmarkEnd w:id="112"/>
    <w:bookmarkEnd w:id="113"/>
    <w:bookmarkStart w:id="123" w:name="the-human-exception-in-creative-work"/>
    <w:p>
      <w:pPr>
        <w:pStyle w:val="Heading1"/>
      </w:pPr>
      <w:r>
        <w:t xml:space="preserve">8. The Human Exception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We now have mentioned the Beethoven</w:t>
      </w:r>
      <w:r>
        <w:t xml:space="preserve"> </w:t>
      </w:r>
      <w:r>
        <w:t xml:space="preserve">experiment several times because it is at the center of the theme in this book. An all-star team of musicologists, historians, and AI programmers attempted something unprecedented: completing Beethoven’s unfinished Tenth Symphony using artificial intelligence</w:t>
      </w:r>
      <w:r>
        <w:t xml:space="preserve">. By the reckoning of most experts, they ultimately failed to create a new version of the great composer’s work. From our perspective, this project offers valuable insights into both the capabilities and limitations of AI in creative work, while illuminating why human authenticity</w:t>
      </w:r>
      <w:r>
        <w:t xml:space="preserve"> </w:t>
      </w:r>
      <w:r>
        <w:t xml:space="preserve">remains irreplaceable even as AI capabilities advance.</w:t>
      </w:r>
    </w:p>
    <w:bookmarkStart w:id="114"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p>
    <w:p>
      <w:pPr>
        <w:pStyle w:val="Compact"/>
        <w:numPr>
          <w:ilvl w:val="0"/>
          <w:numId w:val="1016"/>
        </w:numPr>
      </w:pPr>
      <w:r>
        <w:t xml:space="preserve">A complete corpus of Beethoven’s work for training</w:t>
      </w:r>
    </w:p>
    <w:p>
      <w:pPr>
        <w:pStyle w:val="Compact"/>
        <w:numPr>
          <w:ilvl w:val="0"/>
          <w:numId w:val="1016"/>
        </w:numPr>
      </w:pPr>
      <w:r>
        <w:t xml:space="preserve">Actual sketches from the composer for the specific piece</w:t>
      </w:r>
    </w:p>
    <w:p>
      <w:pPr>
        <w:pStyle w:val="Compact"/>
        <w:numPr>
          <w:ilvl w:val="0"/>
          <w:numId w:val="1016"/>
        </w:numPr>
      </w:pPr>
      <w:r>
        <w:t xml:space="preserve">Access to leading experts in both music and AI</w:t>
      </w:r>
    </w:p>
    <w:p>
      <w:pPr>
        <w:pStyle w:val="Compact"/>
        <w:numPr>
          <w:ilvl w:val="0"/>
          <w:numId w:val="1016"/>
        </w:numPr>
      </w:pPr>
      <w:r>
        <w:t xml:space="preserve">State-of-the-art machine learning</w:t>
      </w:r>
      <w:r>
        <w:t xml:space="preserve"> </w:t>
      </w:r>
      <w:r>
        <w:t xml:space="preserve">capabilities</w:t>
      </w:r>
    </w:p>
    <w:p>
      <w:pPr>
        <w:pStyle w:val="FirstParagraph"/>
      </w:pPr>
      <w:r>
        <w:t xml:space="preserve">If AI could successfully complete this task, it would demonstrate remarkable creative capabilities. The result would be more than just a technical achievement – it would show that AI could authentically channel human genius.</w:t>
      </w:r>
    </w:p>
    <w:bookmarkEnd w:id="114"/>
    <w:bookmarkStart w:id="115"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15"/>
    <w:bookmarkStart w:id="116"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7"/>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7"/>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w:t>
      </w:r>
      <w:r>
        <w:t xml:space="preserve"> </w:t>
      </w:r>
      <w:r>
        <w:t xml:space="preserve">to separate the transcendent from the ordinary.</w:t>
      </w:r>
    </w:p>
    <w:p>
      <w:pPr>
        <w:numPr>
          <w:ilvl w:val="0"/>
          <w:numId w:val="1017"/>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16"/>
    <w:bookmarkStart w:id="120"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Here are some parallels:</w:t>
      </w:r>
    </w:p>
    <w:bookmarkStart w:id="117"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17"/>
    <w:bookmarkStart w:id="118"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18"/>
    <w:bookmarkStart w:id="119" w:name="professional-services"/>
    <w:p>
      <w:pPr>
        <w:pStyle w:val="Heading3"/>
      </w:pPr>
      <w:r>
        <w:t xml:space="preserve">8.4.3 Professional Services</w:t>
      </w:r>
    </w:p>
    <w:p>
      <w:pPr>
        <w:pStyle w:val="FirstParagraph"/>
      </w:pPr>
      <w:r>
        <w:t xml:space="preserve">Even in fields where technical expertise is paramount – law</w:t>
      </w:r>
      <w:r>
        <w:t xml:space="preserve">, medicine, financial advice – clients need to see human judgment at work. They need to know that a human professional has wrestled with their unique situation and exercised judgment on their behalf.</w:t>
      </w:r>
    </w:p>
    <w:bookmarkEnd w:id="119"/>
    <w:bookmarkEnd w:id="120"/>
    <w:bookmarkStart w:id="121" w:name="the-enhancement-opportunity"/>
    <w:p>
      <w:pPr>
        <w:pStyle w:val="Heading2"/>
      </w:pPr>
      <w:r>
        <w:t xml:space="preserve">8.5 The Enhancement</w:t>
      </w:r>
      <w:r>
        <w:t xml:space="preserve"> </w:t>
      </w:r>
      <w:r>
        <w:t xml:space="preserve">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21"/>
    <w:bookmarkStart w:id="122" w:name="looking-forward"/>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w:t>
      </w:r>
      <w:r>
        <w:t xml:space="preserve"> </w:t>
      </w:r>
      <w:r>
        <w:t xml:space="preserve">processes</w:t>
      </w:r>
      <w:r>
        <w:t xml:space="preserve"> </w:t>
      </w:r>
      <w:r>
        <w:t xml:space="preserve">- Use AI to augment rather than replace human judgment</w:t>
      </w:r>
      <w:r>
        <w:t xml:space="preserve"> </w:t>
      </w:r>
      <w:r>
        <w:t xml:space="preserve">- Maintain transparency</w:t>
      </w:r>
      <w:r>
        <w:t xml:space="preserve"> </w:t>
      </w:r>
      <w:r>
        <w:t xml:space="preserve">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exception</w:t>
      </w:r>
      <w:r>
        <w:t xml:space="preserve"> </w:t>
      </w:r>
      <w:r>
        <w:t xml:space="preserve">– the visible struggle for excellence, the exercise of judgment, the emotional connection – remains irreplaceable. This insight should guide how we implement AI across industries and applications.</w:t>
      </w:r>
    </w:p>
    <w:p>
      <w:pPr>
        <w:pStyle w:val="BodyText"/>
      </w:pPr>
      <w:r>
        <w:t xml:space="preserve">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22"/>
    <w:bookmarkEnd w:id="123"/>
    <w:bookmarkStart w:id="138"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The investment implications of artificial intelligence</w:t>
      </w:r>
      <w:r>
        <w:t xml:space="preserve"> </w:t>
      </w:r>
      <w:r>
        <w:t xml:space="preserve">extend far beyond the obvious beneficiaries in Silicon Valley. While companies like Nvidia have captured headlines with astronomical returns, the real opportunity lies in identifying businesses that effectively leverage AI to enhance rather than replace human capabilities</w:t>
      </w:r>
      <w:r>
        <w:t xml:space="preserve">. This nuanced view requires looking past the hype to understand how AI actually creates sustainable competitive advantages.</w:t>
      </w:r>
    </w:p>
    <w:p>
      <w:pPr>
        <w:pStyle w:val="BodyText"/>
      </w:pPr>
      <w:r>
        <w:t xml:space="preserve">The distinction between</w:t>
      </w:r>
      <w:r>
        <w:t xml:space="preserve"> </w:t>
      </w:r>
      <w:r>
        <w:t xml:space="preserve">“what”</w:t>
      </w:r>
      <w:r>
        <w:t xml:space="preserve"> </w:t>
      </w:r>
      <w:r>
        <w:t xml:space="preserve">and</w:t>
      </w:r>
      <w:r>
        <w:t xml:space="preserve"> </w:t>
      </w:r>
      <w:r>
        <w:t xml:space="preserve">“how”</w:t>
      </w:r>
      <w:r>
        <w:t xml:space="preserve"> </w:t>
      </w:r>
      <w:r>
        <w:t xml:space="preserve">intelligence provides a powerful framework for understanding investment opportunities in the AI era. While much of the market’s attention has focused on pure AI plays and dramatic automation</w:t>
      </w:r>
      <w:r>
        <w:t xml:space="preserve"> </w:t>
      </w:r>
      <w:r>
        <w:t xml:space="preserve">narratives, the reality emerging from successful implementations suggests a more nuanced landscape—one where value accrues to companies that effectively leverage both domains rather than emphasizing one at the expense of the other.</w:t>
      </w:r>
    </w:p>
    <w:p>
      <w:pPr>
        <w:pStyle w:val="BodyText"/>
      </w:pPr>
      <w:r>
        <w:t xml:space="preserve">This framework moves beyond simplistic replacement narratives to identify where sustainable competitive advantages are likely to emerge. As we’ve explored throughout this book, AI excels at executing the</w:t>
      </w:r>
      <w:r>
        <w:t xml:space="preserve"> </w:t>
      </w:r>
      <w:r>
        <w:t xml:space="preserve">“how”</w:t>
      </w:r>
      <w:r>
        <w:t xml:space="preserve">—implementing well-defined processes and handling computational complexity—while humans maintain advantages in the</w:t>
      </w:r>
      <w:r>
        <w:t xml:space="preserve"> </w:t>
      </w:r>
      <w:r>
        <w:t xml:space="preserve">“what”</w:t>
      </w:r>
      <w:r>
        <w:t xml:space="preserve">—determining strategic direction, exercising judgment, and framing problems effectively. The investment opportunities created by this division extend far beyond the obvious technology players to include companies across sectors that successfully integrate these complementary capabilities.</w:t>
      </w:r>
    </w:p>
    <w:bookmarkStart w:id="124" w:name="the-what-how-investment-landscape"/>
    <w:p>
      <w:pPr>
        <w:pStyle w:val="Heading2"/>
      </w:pPr>
      <w:r>
        <w:t xml:space="preserve">9.1 The What-How Investment Landscape</w:t>
      </w:r>
    </w:p>
    <w:p>
      <w:pPr>
        <w:pStyle w:val="FirstParagraph"/>
      </w:pPr>
      <w:r>
        <w:t xml:space="preserve">The investment landscape emerging from the what-how divide falls into three primary categories, each with distinct value propositions and competitive dynamics.</w:t>
      </w:r>
    </w:p>
    <w:p>
      <w:pPr>
        <w:pStyle w:val="BodyText"/>
      </w:pPr>
      <w:r>
        <w:t xml:space="preserve">First,</w:t>
      </w:r>
      <w:r>
        <w:t xml:space="preserve"> </w:t>
      </w:r>
      <w:r>
        <w:t xml:space="preserve">“How Specialists”</w:t>
      </w:r>
      <w:r>
        <w:t xml:space="preserve"> </w:t>
      </w:r>
      <w:r>
        <w:t xml:space="preserve">create value by transforming implementation capabilities across industries. These companies develop the infrastructure and tools that enable AI to execute with unprecedented efficiency and scale. The most obvious examples include semiconductor manufacturers like Nvidia, whose specialized chips dramatically accelerate AI computations, and cloud computing platforms that provide the infrastructure for deploying AI at scale. But this category extends beyond hardware to include companies developing specialized AI tools for particular implementation domains—from code generation to image processing to natural language production.</w:t>
      </w:r>
    </w:p>
    <w:p>
      <w:pPr>
        <w:pStyle w:val="BodyText"/>
      </w:pPr>
      <w:r>
        <w:t xml:space="preserve">The competitive advantages in this category derive from scale economies, network effects, and technical leadership. Nvidia’s dominance, for instance, extends beyond its hardware capabilities to encompass its CUDA software ecosystem, which creates powerful switching costs for developers. Similarly, cloud providers like Microsoft</w:t>
      </w:r>
      <w:r>
        <w:t xml:space="preserve"> </w:t>
      </w:r>
      <w:r>
        <w:t xml:space="preserve">Azure and Google</w:t>
      </w:r>
      <w:r>
        <w:t xml:space="preserve"> </w:t>
      </w:r>
      <w:r>
        <w:t xml:space="preserve">Cloud build advantages through integrated AI services that simplify implementation for enterprise customers.</w:t>
      </w:r>
    </w:p>
    <w:p>
      <w:pPr>
        <w:pStyle w:val="BodyText"/>
      </w:pPr>
      <w:r>
        <w:t xml:space="preserve">Second,</w:t>
      </w:r>
      <w:r>
        <w:t xml:space="preserve"> </w:t>
      </w:r>
      <w:r>
        <w:t xml:space="preserve">“What Enablers”</w:t>
      </w:r>
      <w:r>
        <w:t xml:space="preserve"> </w:t>
      </w:r>
      <w:r>
        <w:t xml:space="preserve">focus on enhancing human strategic decision-making</w:t>
      </w:r>
      <w:r>
        <w:t xml:space="preserve"> </w:t>
      </w:r>
      <w:r>
        <w:t xml:space="preserve">rather than replacing it. These companies develop tools and platforms that augment human judgment</w:t>
      </w:r>
      <w:r>
        <w:t xml:space="preserve"> </w:t>
      </w:r>
      <w:r>
        <w:t xml:space="preserve">by processing vast amounts of data, identifying patterns, and generating insights that inform strategic decisions. Examples include companies like Palantir</w:t>
      </w:r>
      <w:r>
        <w:t xml:space="preserve">, whose platforms help human analysts make sense of complex data environments, and decision support tools in healthcare</w:t>
      </w:r>
      <w:r>
        <w:t xml:space="preserve"> </w:t>
      </w:r>
      <w:r>
        <w:t xml:space="preserve">that help doctors identify potential diagnoses while preserving their clinical judgment.</w:t>
      </w:r>
    </w:p>
    <w:p>
      <w:pPr>
        <w:pStyle w:val="BodyText"/>
      </w:pPr>
      <w:r>
        <w:t xml:space="preserve">Competitive advantages for What Enablers tend to be more domain-specific, deriving from deep understanding of particular decision contexts, accumulated data assets, and the ability to effectively interface between AI capabilities and human judgment. The most successful companies in this category don’t merely provide raw analytical capabilities; they package insights in ways that meaningfully enhance human decision-making within specific contexts.</w:t>
      </w:r>
    </w:p>
    <w:p>
      <w:pPr>
        <w:pStyle w:val="BodyText"/>
      </w:pPr>
      <w:r>
        <w:t xml:space="preserve">Third,</w:t>
      </w:r>
      <w:r>
        <w:t xml:space="preserve"> </w:t>
      </w:r>
      <w:r>
        <w:t xml:space="preserve">“Integration Masters</w:t>
      </w:r>
      <w:r>
        <w:t xml:space="preserve">”</w:t>
      </w:r>
      <w:r>
        <w:t xml:space="preserve"> </w:t>
      </w:r>
      <w:r>
        <w:t xml:space="preserve">successfully bridge both domains, creating seamless connections between human strategic direction and AI-powered implementation. These companies—often enhanced incumbents rather than pure AI plays—leverage artificial intelligence to amplify existing competitive advantages rather than creating entirely new business models. They maintain human judgment in areas where it adds most value while deploying AI to handle implementation complexity at unprecedented scale and consistency.</w:t>
      </w:r>
    </w:p>
    <w:p>
      <w:pPr>
        <w:pStyle w:val="BodyText"/>
      </w:pPr>
      <w:r>
        <w:t xml:space="preserve">JPMorgan</w:t>
      </w:r>
      <w:r>
        <w:t xml:space="preserve"> </w:t>
      </w:r>
      <w:r>
        <w:t xml:space="preserve">exemplifies this approach in financial services</w:t>
      </w:r>
      <w:r>
        <w:t xml:space="preserve">, using AI to process vast amounts of transaction data and flag potential issues while maintaining human judgment for complex risk assessments and client relationships. Similarly, Mayo Clinic</w:t>
      </w:r>
      <w:r>
        <w:t xml:space="preserve"> </w:t>
      </w:r>
      <w:r>
        <w:t xml:space="preserve">enhances radiologist capabilities through AI that processes medical images while preserving physician judgment for diagnosis and treatment decisions.</w:t>
      </w:r>
    </w:p>
    <w:p>
      <w:pPr>
        <w:pStyle w:val="BodyText"/>
      </w:pPr>
      <w:r>
        <w:t xml:space="preserve">The most sustainable competitive advantages often emerge in this third category, where companies create integrated capabilities that competitors cannot easily replicate. While individual AI technologies might be widely available, the effective integration of these capabilities with domain-specific human expertise creates moats that prove remarkably durable.</w:t>
      </w:r>
    </w:p>
    <w:bookmarkEnd w:id="124"/>
    <w:bookmarkStart w:id="125" w:name="value-creation-through-the-what-how-lens"/>
    <w:p>
      <w:pPr>
        <w:pStyle w:val="Heading2"/>
      </w:pPr>
      <w:r>
        <w:t xml:space="preserve">9.2 Value Creation</w:t>
      </w:r>
      <w:r>
        <w:t xml:space="preserve"> </w:t>
      </w:r>
      <w:r>
        <w:t xml:space="preserve">Through the What-How Lens</w:t>
      </w:r>
    </w:p>
    <w:p>
      <w:pPr>
        <w:pStyle w:val="FirstParagraph"/>
      </w:pPr>
      <w:r>
        <w:t xml:space="preserve">Companies that effectively navigate the what-how divide demonstrate distinct performance advantages across several key metrics—creating investment signals that savvy investors can leverage to identify future winners.</w:t>
      </w:r>
    </w:p>
    <w:p>
      <w:pPr>
        <w:pStyle w:val="BodyText"/>
      </w:pPr>
      <w:r>
        <w:t xml:space="preserve">First, productivity metrics</w:t>
      </w:r>
      <w:r>
        <w:t xml:space="preserve"> </w:t>
      </w:r>
      <w:r>
        <w:t xml:space="preserve">reveal the efficiency gains from appropriate division of labor between humans and AI. Rather than simply automating to reduce headcount, successful implementations redirect human cognitive capacity toward higher-value activities while leveraging AI for routine execution. This shows up in metrics like revenue per employee, which typically increases 30-40% within 3-5 years of effective implementation—significantly outpacing the 15-20% improvements from pure automation approaches.</w:t>
      </w:r>
    </w:p>
    <w:p>
      <w:pPr>
        <w:pStyle w:val="BodyText"/>
      </w:pPr>
      <w:r>
        <w:t xml:space="preserve">The way that Bloomberg</w:t>
      </w:r>
      <w:r>
        <w:t xml:space="preserve"> </w:t>
      </w:r>
      <w:r>
        <w:t xml:space="preserve">has evolved its financial terminal business is a case in point. Rather than simply automating financial analysis, they’ve used AI to process vast amounts of market data while keeping humans focused on identifying relevant patterns and developing investment insights. The result is dramatically higher productivity per analyst while maintaining the high-touch service that justifies premium pricing.</w:t>
      </w:r>
    </w:p>
    <w:p>
      <w:pPr>
        <w:pStyle w:val="BodyText"/>
      </w:pPr>
      <w:r>
        <w:t xml:space="preserve">Second, capital efficiency</w:t>
      </w:r>
      <w:r>
        <w:t xml:space="preserve"> </w:t>
      </w:r>
      <w:r>
        <w:t xml:space="preserve">improves through more targeted technology investments. Companies that understand the what-how distinction</w:t>
      </w:r>
      <w:r>
        <w:t xml:space="preserve"> </w:t>
      </w:r>
      <w:r>
        <w:t xml:space="preserve">tend to make smaller, more focused AI investments with clearer payback periods rather than massive infrastructure projects with uncertain returns. This shows up in metrics like return on invested capital</w:t>
      </w:r>
      <w:r>
        <w:t xml:space="preserve"> </w:t>
      </w:r>
      <w:r>
        <w:t xml:space="preserve">(ROIC), which typically remains 800-1200 basis points above cost of capital for companies pursuing balanced enhancement</w:t>
      </w:r>
      <w:r>
        <w:t xml:space="preserve"> </w:t>
      </w:r>
      <w:r>
        <w:t xml:space="preserve">strategies—roughly double the premium for those focused solely on automation.</w:t>
      </w:r>
    </w:p>
    <w:p>
      <w:pPr>
        <w:pStyle w:val="BodyText"/>
      </w:pPr>
      <w:r>
        <w:t xml:space="preserve">Goldman Sachs</w:t>
      </w:r>
      <w:r>
        <w:t xml:space="preserve">’ approach to AI investment exemplifies this efficiency. Rather than attempting to automate their entire investment process, they’ve made targeted investments in specific capabilities—like natural language processing for earnings calls and sentiment analysis for news events—while maintaining human judgment for investment decisions. This focused approach has delivered clearer returns than competitors pursuing more sweeping AI transformations.</w:t>
      </w:r>
    </w:p>
    <w:p>
      <w:pPr>
        <w:pStyle w:val="BodyText"/>
      </w:pPr>
      <w:r>
        <w:t xml:space="preserve">Third, customer relationships strengthen when companies enhance rather than replace human elements in their service delivery. This manifests in metrics like Net Promoter Score (NPS), customer retention rates, and share of wallet—all of which tend to be significantly higher for companies that maintain appropriate human involvement in customer-facing roles while leveraging AI for background processes.</w:t>
      </w:r>
    </w:p>
    <w:p>
      <w:pPr>
        <w:pStyle w:val="BodyText"/>
      </w:pPr>
      <w:r>
        <w:t xml:space="preserve">The contrast between different approaches to wealth management automation illustrates this dynamic clearly. The first wave of robo-advisors attempted to completely automate investment management</w:t>
      </w:r>
      <w:r>
        <w:t xml:space="preserve">,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capabilities—providing better analytics, freeing time for client relationships, enabling more sophisticated planning—have seen superior results across key relationship metrics.</w:t>
      </w:r>
    </w:p>
    <w:p>
      <w:pPr>
        <w:pStyle w:val="BodyText"/>
      </w:pPr>
      <w:r>
        <w:t xml:space="preserve">Fourth, competitive advantages prove more sustainable when built on the integration of AI capabilities with human expertise rather than technology alone. While pure technology advantages typically erode as innovations disseminate, the combination of AI implementation with domain-specific human judgment creates integrated capabilities that competitors struggle to replicate. This sustainability</w:t>
      </w:r>
      <w:r>
        <w:t xml:space="preserve"> </w:t>
      </w:r>
      <w:r>
        <w:t xml:space="preserve">shows up in metrics like gross margin stability and market share</w:t>
      </w:r>
      <w:r>
        <w:t xml:space="preserve"> </w:t>
      </w:r>
      <w:r>
        <w:t xml:space="preserve">retention over time.</w:t>
      </w:r>
    </w:p>
    <w:p>
      <w:pPr>
        <w:pStyle w:val="BodyText"/>
      </w:pPr>
      <w:r>
        <w:t xml:space="preserve">LVMH</w:t>
      </w:r>
      <w:r>
        <w:t xml:space="preserve">’s application of AI in luxury retail demonstrates this sustainability. Rather than eliminating human sales associates, they’ve deployed AI to enhance personalization capabilities and inventory management while maintaining the high-touch human service that luxury customers expect. The resulting combination has proven remarkably difficult for competitors to match, allowing the company to maintain premium pricing and market leadership even as technology proliferates.</w:t>
      </w:r>
    </w:p>
    <w:p>
      <w:pPr>
        <w:pStyle w:val="BodyText"/>
      </w:pPr>
      <w:r>
        <w:t xml:space="preserve">Finally, regulatory risk</w:t>
      </w:r>
      <w:r>
        <w:t xml:space="preserve"> </w:t>
      </w:r>
      <w:r>
        <w:t xml:space="preserve">decreases when companies maintain appropriate human oversight and accountability. As regulatory frameworks</w:t>
      </w:r>
      <w:r>
        <w:t xml:space="preserve"> </w:t>
      </w:r>
      <w:r>
        <w:t xml:space="preserve">for AI continue to evolve, companies that preserve human judgment in critical decisions face substantially lower compliance burdens and fewer regulatory incidents than those pursuing full automation. This risk differential shows up directly in compliance costs, which average 30-40% lower for companies pursuing balanced human-AI strategies.</w:t>
      </w:r>
    </w:p>
    <w:bookmarkEnd w:id="125"/>
    <w:bookmarkStart w:id="130" w:name="the-what-how-integration-matrix"/>
    <w:p>
      <w:pPr>
        <w:pStyle w:val="Heading2"/>
      </w:pPr>
      <w:r>
        <w:t xml:space="preserve">9.3 The What-How Integration Matrix</w:t>
      </w:r>
    </w:p>
    <w:p>
      <w:pPr>
        <w:pStyle w:val="FirstParagraph"/>
      </w:pPr>
      <w:r>
        <w:t xml:space="preserve">To visualize these dynamics, we propose a framework called the</w:t>
      </w:r>
      <w:r>
        <w:t xml:space="preserve"> </w:t>
      </w:r>
      <w:r>
        <w:t xml:space="preserve">“What-How Integration Matrix”</w:t>
      </w:r>
      <w:r>
        <w:t xml:space="preserve"> </w:t>
      </w:r>
      <w:r>
        <w:t xml:space="preserve">that maps companies based on their capabilities in both domains. This matrix helps investors identify where particular organizations fall within the landscape and evaluate their potential for sustainable value creation.</w:t>
      </w:r>
    </w:p>
    <w:p>
      <w:pPr>
        <w:pStyle w:val="BodyText"/>
      </w:pPr>
      <w:r>
        <w:drawing>
          <wp:inline>
            <wp:extent cx="5943600" cy="4457700"/>
            <wp:effectExtent b="0" l="0" r="0" t="0"/>
            <wp:docPr descr="" title="" id="127" name="Picture"/>
            <a:graphic>
              <a:graphicData uri="http://schemas.openxmlformats.org/drawingml/2006/picture">
                <pic:pic>
                  <pic:nvPicPr>
                    <pic:cNvPr descr="_resources/images/Ch09-images/what-how-matrix-ch9.svg" id="128" name="Picture"/>
                    <pic:cNvPicPr>
                      <a:picLocks noChangeArrowheads="1" noChangeAspect="1"/>
                    </pic:cNvPicPr>
                  </pic:nvPicPr>
                  <pic:blipFill>
                    <a:blip r:embed="rId129">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vertical axis represents capabilities in the</w:t>
      </w:r>
      <w:r>
        <w:t xml:space="preserve"> </w:t>
      </w:r>
      <w:r>
        <w:t xml:space="preserve">“what”</w:t>
      </w:r>
      <w:r>
        <w:t xml:space="preserve"> </w:t>
      </w:r>
      <w:r>
        <w:t xml:space="preserve">domain—the ability to frame problems effectively, exercise contextual judgment, and set strategic direction. Companies higher on this axis demonstrate superior capabilities in these areas, whether through organizational structure, leadership quality, or accumulated expertise.</w:t>
      </w:r>
    </w:p>
    <w:p>
      <w:pPr>
        <w:pStyle w:val="BodyText"/>
      </w:pPr>
      <w:r>
        <w:t xml:space="preserve">The horizontal axis represents capabilities in the</w:t>
      </w:r>
      <w:r>
        <w:t xml:space="preserve"> </w:t>
      </w:r>
      <w:r>
        <w:t xml:space="preserve">“how”</w:t>
      </w:r>
      <w:r>
        <w:t xml:space="preserve"> </w:t>
      </w:r>
      <w:r>
        <w:t xml:space="preserve">domain—the ability to implement efficiently at scale through AI and related technologies. Companies further to the right on this axis have more sophisticated implementation capabilities, whether through technical infrastructure, data assets, or algorithmic sophistication.</w:t>
      </w:r>
    </w:p>
    <w:p>
      <w:pPr>
        <w:pStyle w:val="BodyText"/>
      </w:pPr>
      <w:r>
        <w:t xml:space="preserve">This creates four quadrants, each with distinct investment implications:</w:t>
      </w:r>
    </w:p>
    <w:p>
      <w:pPr>
        <w:pStyle w:val="BodyText"/>
      </w:pPr>
      <w:r>
        <w:t xml:space="preserve">In the upper right quadrant are</w:t>
      </w:r>
      <w:r>
        <w:t xml:space="preserve"> </w:t>
      </w:r>
      <w:r>
        <w:t xml:space="preserve">“Full-Spectrum Leaders”</w:t>
      </w:r>
      <w:r>
        <w:t xml:space="preserve">—companies with strong capabilities in both domains. These organizations effectively leverage AI for implementation while maintaining strong human judgment in strategic areas. Examples include JPMorgan in financial services, Mayo Clinic in healthcare, and Microsoft in enterprise software. These companies typically deliver superior financial performance across multiple metrics and maintain sustainable competitive advantages. They represent the most attractive long-term investments in the AI landscape.</w:t>
      </w:r>
    </w:p>
    <w:p>
      <w:pPr>
        <w:pStyle w:val="BodyText"/>
      </w:pPr>
      <w:r>
        <w:t xml:space="preserve">In the upper left quadrant are</w:t>
      </w:r>
      <w:r>
        <w:t xml:space="preserve"> </w:t>
      </w:r>
      <w:r>
        <w:t xml:space="preserve">“Strategic Leaders</w:t>
      </w:r>
      <w:r>
        <w:t xml:space="preserve">, Implementation Laggards”</w:t>
      </w:r>
      <w:r>
        <w:t xml:space="preserve">—companies with strong strategic capabilities but underdeveloped AI implementation. These organizations maintain valuable human judgment but haven’t yet leveraged AI effectively to execute at scale. Examples include many traditional consulting firms and creative agencies. These companies represent potential turnaround opportunities if they can successfully develop implementation capabilities while preserving their strategic strengths.</w:t>
      </w:r>
    </w:p>
    <w:p>
      <w:pPr>
        <w:pStyle w:val="BodyText"/>
      </w:pPr>
      <w:r>
        <w:t xml:space="preserve">In the lower right quadrant are</w:t>
      </w:r>
      <w:r>
        <w:t xml:space="preserve"> </w:t>
      </w:r>
      <w:r>
        <w:t xml:space="preserve">“Implementation Leaders</w:t>
      </w:r>
      <w:r>
        <w:t xml:space="preserve">, Strategic Laggards”</w:t>
      </w:r>
      <w:r>
        <w:t xml:space="preserve">—companies with sophisticated AI capabilities but underdeveloped strategic judgment. These organizations execute efficiently at scale but struggle with determining what’s worth doing in the first place. Examples include many pure-play AI startups and early-stage technology companies. These companies often deliver impressive technical results but struggle with sustainable business models. They represent higher-risk investments that might deliver breakthroughs but face significant strategic challenges.</w:t>
      </w:r>
    </w:p>
    <w:p>
      <w:pPr>
        <w:pStyle w:val="BodyText"/>
      </w:pPr>
      <w:r>
        <w:t xml:space="preserve">In the lower left quadrant are</w:t>
      </w:r>
      <w:r>
        <w:t xml:space="preserve"> </w:t>
      </w:r>
      <w:r>
        <w:t xml:space="preserve">“Dual Laggards</w:t>
      </w:r>
      <w:r>
        <w:t xml:space="preserve">”</w:t>
      </w:r>
      <w:r>
        <w:t xml:space="preserve">—companies with weak capabilities in both domains. These organizations neither leverage AI effectively nor maintain distinctive human judgment. They represent the least attractive investment opportunities and face existential threats as competition intensifies.</w:t>
      </w:r>
    </w:p>
    <w:p>
      <w:pPr>
        <w:pStyle w:val="BodyText"/>
      </w:pPr>
      <w:r>
        <w:t xml:space="preserve">The most successful companies typically follow an upward trajectory through this matrix over time, either by enhancing their</w:t>
      </w:r>
      <w:r>
        <w:t xml:space="preserve"> </w:t>
      </w:r>
      <w:r>
        <w:t xml:space="preserve">“what”</w:t>
      </w:r>
      <w:r>
        <w:t xml:space="preserve"> </w:t>
      </w:r>
      <w:r>
        <w:t xml:space="preserve">capabilities through organizational development or by improving their</w:t>
      </w:r>
      <w:r>
        <w:t xml:space="preserve"> </w:t>
      </w:r>
      <w:r>
        <w:t xml:space="preserve">“how”</w:t>
      </w:r>
      <w:r>
        <w:t xml:space="preserve"> </w:t>
      </w:r>
      <w:r>
        <w:t xml:space="preserve">capabilities through technological investment. Understanding where companies fall on this matrix—and how they’re evolving—provides invaluable insight for investment decisions.</w:t>
      </w:r>
    </w:p>
    <w:bookmarkEnd w:id="130"/>
    <w:bookmarkStart w:id="135" w:name="industry-specific-applications"/>
    <w:p>
      <w:pPr>
        <w:pStyle w:val="Heading2"/>
      </w:pPr>
      <w:r>
        <w:t xml:space="preserve">9.4 Industry-Specific Applications</w:t>
      </w:r>
    </w:p>
    <w:p>
      <w:pPr>
        <w:pStyle w:val="FirstParagraph"/>
      </w:pPr>
      <w:r>
        <w:t xml:space="preserve">The what-how framework manifests differently across industries, creating distinct investment opportunities in each sector.</w:t>
      </w:r>
    </w:p>
    <w:p>
      <w:pPr>
        <w:pStyle w:val="BodyText"/>
      </w:pPr>
      <w:r>
        <w:t xml:space="preserve">In financial services, the divide appears most clearly between strategic risk assessment and transaction execution. Companies like BlackRock have leveraged this distinction effectively, using AI to handle routine trading operations and data analysis while maintaining human judgment for portfolio construction and risk management. Their Aladdin platform exemplifies this approach, providing sophisticated analytical capabilities while preserving human oversight for strategic decisions. The result has been dramatic growth in assets under management while maintaining impressive margins</w:t>
      </w:r>
      <w:r>
        <w:t xml:space="preserve">.</w:t>
      </w:r>
    </w:p>
    <w:p>
      <w:pPr>
        <w:pStyle w:val="BodyText"/>
      </w:pPr>
      <w:r>
        <w:t xml:space="preserve">The contrast with pure algorithmic trading firms is instructive. While many quantitative hedge funds have delivered impressive short-term results through AI-driven strategies, they’ve also demonstrated greater volatility and vulnerability to market shifts that fall outside their training data</w:t>
      </w:r>
      <w:r>
        <w:t xml:space="preserve">. The most sustainable advantages have emerged not from pure automation but from firms that effectively combine algorithmic execution with human judgment about market conditions and risk factors.</w:t>
      </w:r>
    </w:p>
    <w:p>
      <w:pPr>
        <w:pStyle w:val="BodyText"/>
      </w:pPr>
      <w:r>
        <w:t xml:space="preserve">In healthcare, the divide manifests between diagnostic judgment and data processing. Companies like Tempus have built successful models by enhancing physician capabilities rather than attempting to replace them. Their platform analyzes vast amounts of clinical and molecular data to identify potential treatment options while maintaining doctor judgment for diagnosis and treatment selection. This approach has enabled them to build a sustainable business model with strong hospital relationships that pure automation plays have struggled to match.</w:t>
      </w:r>
    </w:p>
    <w:p>
      <w:pPr>
        <w:pStyle w:val="BodyText"/>
      </w:pPr>
      <w:r>
        <w:t xml:space="preserve">The pharmaceutical industry demonstrates similar dynamics. Companies like Recursion Pharmaceuticals use AI to dramatically accelerate drug discovery processes that would be impossible for humans to execute manually, while maintaining scientific judgment about which compounds merit further investigation. This combination has enabled them to build a more capital-efficient drug discovery model than either traditional pharma companies or pure AI startups.</w:t>
      </w:r>
    </w:p>
    <w:p>
      <w:pPr>
        <w:pStyle w:val="BodyText"/>
      </w:pPr>
      <w:r>
        <w:t xml:space="preserve">In manufacturing</w:t>
      </w:r>
      <w:r>
        <w:t xml:space="preserve">, the divide appears between design creativity and production optimization. Companies like NVIDIA have mastered this distinction not just in their products but in their own operations. They leverage AI extensively in chip design and production processes while maintaining human creativity in architectural decisions and strategic direction. This combination has enabled them to maintain technical leadership while achieving unprecedented scale.</w:t>
      </w:r>
    </w:p>
    <w:p>
      <w:pPr>
        <w:pStyle w:val="BodyText"/>
      </w:pPr>
      <w:r>
        <w:t xml:space="preserve">BMW’s implementation of AI in manufacturing quality control demonstrates similar principles. Their systems process visual inspection data at scale and consistency impossible for humans, while maintaining human judgment for determining which deviations matter in different contexts. The result has been dramatic improvements in quality metrics while maintaining the distinctive characteristics that define their brand.</w:t>
      </w:r>
    </w:p>
    <w:p>
      <w:pPr>
        <w:pStyle w:val="BodyText"/>
      </w:pPr>
      <w:r>
        <w:t xml:space="preserve">In creative industries</w:t>
      </w:r>
      <w:r>
        <w:t xml:space="preserve">, the divide manifests between artistic vision and technical execution. Companies like Pixar</w:t>
      </w:r>
      <w:r>
        <w:t xml:space="preserve"> </w:t>
      </w:r>
      <w:r>
        <w:t xml:space="preserve">exemplify this approach, using increasingly sophisticated AI tools for rendering and animation while preserving human creativity for storytelling and character development. This combination has enabled them to create films of increasing technical sophistication while maintaining the emotional resonance that drives commercial success.</w:t>
      </w:r>
    </w:p>
    <w:p>
      <w:pPr>
        <w:pStyle w:val="BodyText"/>
      </w:pPr>
      <w:r>
        <w:t xml:space="preserve">Adobe</w:t>
      </w:r>
      <w:r>
        <w:t xml:space="preserve"> </w:t>
      </w:r>
      <w:r>
        <w:t xml:space="preserve">has followed a similar path with their Creative Cloud suite, integrating increasingly powerful AI capabilities while preserving space for human creative direction. Their Generative Fill features, for instance, handle technical execution that would be tedious for humans while keeping designers in control of creative vision. This approach has enabled them to maintain premium pricing and market leadership despite increasing competition.</w:t>
      </w:r>
    </w:p>
    <w:p>
      <w:pPr>
        <w:pStyle w:val="BodyText"/>
      </w:pPr>
      <w:r>
        <w:drawing>
          <wp:inline>
            <wp:extent cx="5943600" cy="3714750"/>
            <wp:effectExtent b="0" l="0" r="0" t="0"/>
            <wp:docPr descr="" title="" id="132" name="Picture"/>
            <a:graphic>
              <a:graphicData uri="http://schemas.openxmlformats.org/drawingml/2006/picture">
                <pic:pic>
                  <pic:nvPicPr>
                    <pic:cNvPr descr="_resources/images/Ch09-images/performance-chart.svg" id="133" name="Picture"/>
                    <pic:cNvPicPr>
                      <a:picLocks noChangeArrowheads="1" noChangeAspect="1"/>
                    </pic:cNvPicPr>
                  </pic:nvPicPr>
                  <pic:blipFill>
                    <a:blip r:embed="rId134">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5943600" cy="3714750"/>
                    </a:xfrm>
                    <a:prstGeom prst="rect">
                      <a:avLst/>
                    </a:prstGeom>
                    <a:noFill/>
                    <a:ln w="9525">
                      <a:noFill/>
                      <a:headEnd/>
                      <a:tailEnd/>
                    </a:ln>
                  </pic:spPr>
                </pic:pic>
              </a:graphicData>
            </a:graphic>
          </wp:inline>
        </w:drawing>
      </w:r>
    </w:p>
    <w:bookmarkEnd w:id="135"/>
    <w:bookmarkStart w:id="136" w:name="investment-strategy-implications"/>
    <w:p>
      <w:pPr>
        <w:pStyle w:val="Heading2"/>
      </w:pPr>
      <w:r>
        <w:t xml:space="preserve">9.5 Investment Strategy</w:t>
      </w:r>
      <w:r>
        <w:t xml:space="preserve"> </w:t>
      </w:r>
      <w:r>
        <w:t xml:space="preserve">Implications</w:t>
      </w:r>
    </w:p>
    <w:p>
      <w:pPr>
        <w:pStyle w:val="FirstParagraph"/>
      </w:pPr>
      <w:r>
        <w:t xml:space="preserve">The what-how framework suggests several key principles for AI-related investment strategies:</w:t>
      </w:r>
    </w:p>
    <w:p>
      <w:pPr>
        <w:pStyle w:val="BodyText"/>
      </w:pPr>
      <w:r>
        <w:t xml:space="preserve">First, focus on integration capabilities rather than pure AI technology. The most sustainable advantages emerge not from technical leadership in isolation but from effective integration of AI capabilities with domain-specific human expertise. Companies that demonstrate sophisticated understanding of the appropriate boundaries between human and AI responsibilities typically outperform pure technology plays over the long term.</w:t>
      </w:r>
    </w:p>
    <w:p>
      <w:pPr>
        <w:pStyle w:val="BodyText"/>
      </w:pPr>
      <w:r>
        <w:t xml:space="preserve">Second, evaluate leadership understanding of the what-how distinction. Companies whose executives can clearly articulate where human judgment adds value versus where AI can handle implementation typically demonstrate superior implementation results. This understanding shows up in organizational structure, talent development approaches, and capital allocation decisions.</w:t>
      </w:r>
    </w:p>
    <w:p>
      <w:pPr>
        <w:pStyle w:val="BodyText"/>
      </w:pPr>
      <w:r>
        <w:t xml:space="preserve">Third, assess data assets and implementation capabilities realistically. While many companies tout their AI initiatives, the reality often falls short of the rhetoric. Investors should look for concrete evidence of implementation success—clear use cases, measurable results, and realistic assessments of both capabilities and limitations.</w:t>
      </w:r>
    </w:p>
    <w:p>
      <w:pPr>
        <w:pStyle w:val="BodyText"/>
      </w:pPr>
      <w:r>
        <w:t xml:space="preserve">Fourth, consider timing and geographic diversification. Different industries and regions are at different stages of AI adoption, creating opportunities to identify leaders in emerging domains before full market recognition. This requires careful attention to adoption curves and industry-specific implementation challenges.</w:t>
      </w:r>
    </w:p>
    <w:p>
      <w:pPr>
        <w:pStyle w:val="BodyText"/>
      </w:pPr>
      <w:r>
        <w:t xml:space="preserve">Fifth, monitor regulatory developments through the what-how lens. Regulatory frameworks increasingly distinguish between different levels of automation and human oversight. Companies that maintain appropriate human involvement in critical decisions typically face lower regulatory burdens than those pursuing full automation strategies.</w:t>
      </w:r>
    </w:p>
    <w:p>
      <w:pPr>
        <w:pStyle w:val="BodyText"/>
      </w:pPr>
      <w:r>
        <w:t xml:space="preserve">The most attractive investments typically demonstrate several characteristics: clear understanding of where human judgment adds value, sophisticated AI implementation in appropriate domains, strong data assets and implementation capabilities, realistic assessment of both opportunities and limitations, and organizational structures that effectively bridge the what-how divide.</w:t>
      </w:r>
    </w:p>
    <w:bookmarkEnd w:id="136"/>
    <w:bookmarkStart w:id="137" w:name="X88318b149fe2a9e276e621f078e742d55b148ab"/>
    <w:p>
      <w:pPr>
        <w:pStyle w:val="Heading2"/>
      </w:pPr>
      <w:r>
        <w:t xml:space="preserve">9.6 Conclusion: Value Creation and Capture in the AI Era</w:t>
      </w:r>
    </w:p>
    <w:p>
      <w:pPr>
        <w:pStyle w:val="FirstParagraph"/>
      </w:pPr>
      <w:r>
        <w:t xml:space="preserve">The investment implications of the what-how framework extend far beyond the current AI hype cycle. While today’s market enthusiasm often focuses on pure technology plays and dramatic automation narratives, the sustainable advantages are likely to accrue to companies that effectively integrate AI capabilities with human judgment rather than emphasizing one at the expense of the other.</w:t>
      </w:r>
    </w:p>
    <w:p>
      <w:pPr>
        <w:pStyle w:val="BodyText"/>
      </w:pPr>
      <w:r>
        <w:t xml:space="preserve">This pattern echoes previous technological revolutions. During the rise of the internet, early enthusiasm concentrated on pure-play dot-com companies promising to revolutionize entire industries. Yet the most enduring value ultimately accrued to organizations that effectively integrated internet capabilities with existing business models and domain expertise—companies like Amazon</w:t>
      </w:r>
      <w:r>
        <w:t xml:space="preserve">, which combined e-commerce technology with sophisticated logistics</w:t>
      </w:r>
      <w:r>
        <w:t xml:space="preserve"> </w:t>
      </w:r>
      <w:r>
        <w:t xml:space="preserve">operations and merchandising judgment.</w:t>
      </w:r>
    </w:p>
    <w:p>
      <w:pPr>
        <w:pStyle w:val="BodyText"/>
      </w:pPr>
      <w:r>
        <w:t xml:space="preserve">Similarly, the most sustainable AI-driven value creation will likely come from companies that effectively leverage artificial intelligence for implementation while preserving human judgment in domains where it adds distinctive value. These companies may not capture today’s headlines, but they’re positioned to deliver superior long-term performance as the technology matures and competitive differentiation shifts from pure AI capabilities to effective integration.</w:t>
      </w:r>
    </w:p>
    <w:p>
      <w:pPr>
        <w:pStyle w:val="BodyText"/>
      </w:pPr>
      <w:r>
        <w:t xml:space="preserve">The future belongs not to those who build the most sophisticated AI systems in isolation, but to those who most effectively combine artificial and human intelligence to create integrated capabilities that competitors cannot easily replicate. Understanding this fundamental truth—and identifying the companies that embody it—represents the central investment opportunity of the AI era.</w:t>
      </w:r>
    </w:p>
    <w:bookmarkEnd w:id="137"/>
    <w:bookmarkEnd w:id="138"/>
    <w:bookmarkStart w:id="147"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w:t>
      </w:r>
      <w:r>
        <w:t xml:space="preserve"> </w:t>
      </w:r>
      <w:r>
        <w:t xml:space="preserve">enhances rather than replaces human capabilities</w:t>
      </w:r>
      <w:r>
        <w:t xml:space="preserve"> </w:t>
      </w:r>
      <w:r>
        <w:t xml:space="preserve">across industries. As we look toward the future, the critical question isn’t whether AI will automate jobs away, but how we can build systems that amplify human judgment</w:t>
      </w:r>
      <w:r>
        <w:t xml:space="preserve"> </w:t>
      </w:r>
      <w:r>
        <w:t xml:space="preserve">while preserving human agency</w:t>
      </w:r>
      <w:r>
        <w:t xml:space="preserve">. This final chapter outlines concrete steps for business leaders, policymakers, and individuals to ensure AI development remains human-centric.</w:t>
      </w:r>
    </w:p>
    <w:bookmarkStart w:id="139" w:name="the-what-how-imperative"/>
    <w:p>
      <w:pPr>
        <w:pStyle w:val="Heading2"/>
      </w:pPr>
      <w:r>
        <w:t xml:space="preserve">10.1 The</w:t>
      </w:r>
      <w:r>
        <w:t xml:space="preserve"> </w:t>
      </w:r>
      <w:r>
        <w:t xml:space="preserve">“What-How”</w:t>
      </w:r>
      <w:r>
        <w:t xml:space="preserve"> </w:t>
      </w:r>
      <w:r>
        <w:t xml:space="preserve">Imperative</w:t>
      </w:r>
    </w:p>
    <w:p>
      <w:pPr>
        <w:pStyle w:val="FirstParagraph"/>
      </w:pPr>
      <w:r>
        <w:t xml:space="preserve">The narrative around AI has focused excessively on automation</w:t>
      </w:r>
      <w:r>
        <w:t xml:space="preserve"> </w:t>
      </w:r>
      <w:r>
        <w:t xml:space="preserve">and replacement, leading to misallocation of resources and flawed implementation strategies. Our research across industries reveals that successful AI deployments invariably preserve human judgment while delegating technical execution to machines. This division mirrors the fundamental</w:t>
      </w:r>
      <w:r>
        <w:t xml:space="preserve"> </w:t>
      </w:r>
      <w:r>
        <w:t xml:space="preserve">“what-how”</w:t>
      </w:r>
      <w:r>
        <w:t xml:space="preserve"> </w:t>
      </w:r>
      <w:r>
        <w:t xml:space="preserve">distinction we’ve explored throughout this book: humans determine what needs to be done, while AI increasingly handles how to do it.</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w:t>
      </w:r>
      <w:r>
        <w:t xml:space="preserve"> </w:t>
      </w:r>
      <w:r>
        <w:t xml:space="preserve">capabilities with human traders’ contextual understanding</w:t>
      </w:r>
      <w:r>
        <w:t xml:space="preserve"> </w:t>
      </w:r>
      <w:r>
        <w:t xml:space="preserve">and risk assessment. The machines excel at identifying opportunities and executing trades (the</w:t>
      </w:r>
      <w:r>
        <w:t xml:space="preserve"> </w:t>
      </w:r>
      <w:r>
        <w:t xml:space="preserve">“how”</w:t>
      </w:r>
      <w:r>
        <w:t xml:space="preserve">), but humans remain essential for setting strategy and assessing market psychology (the</w:t>
      </w:r>
      <w:r>
        <w:t xml:space="preserve"> </w:t>
      </w:r>
      <w:r>
        <w:t xml:space="preserve">“what”</w:t>
      </w:r>
      <w:r>
        <w:t xml:space="preserve">).</w:t>
      </w:r>
    </w:p>
    <w:p>
      <w:pPr>
        <w:pStyle w:val="BodyText"/>
      </w:pPr>
      <w:r>
        <w:t xml:space="preserve">This pattern repeats across industries. In healthcare</w:t>
      </w:r>
      <w:r>
        <w:t xml:space="preserve">, AI excels at analyzing medical images and identifying potential anomalies (the</w:t>
      </w:r>
      <w:r>
        <w:t xml:space="preserve"> </w:t>
      </w:r>
      <w:r>
        <w:t xml:space="preserve">“how”</w:t>
      </w:r>
      <w:r>
        <w:t xml:space="preserve">), but doctors provide crucial judgment in determining what these findings mean within the broader context of patient health (the</w:t>
      </w:r>
      <w:r>
        <w:t xml:space="preserve"> </w:t>
      </w:r>
      <w:r>
        <w:t xml:space="preserve">“what”</w:t>
      </w:r>
      <w:r>
        <w:t xml:space="preserve">). In creative fields, AI tools can generate endless variations of designs or content (the</w:t>
      </w:r>
      <w:r>
        <w:t xml:space="preserve"> </w:t>
      </w:r>
      <w:r>
        <w:t xml:space="preserve">“how”</w:t>
      </w:r>
      <w:r>
        <w:t xml:space="preserve">), but human creators remain essential for determining which outputs align with strategic objectives and audience needs (the</w:t>
      </w:r>
      <w:r>
        <w:t xml:space="preserve"> </w:t>
      </w:r>
      <w:r>
        <w:t xml:space="preserve">“what”</w:t>
      </w:r>
      <w:r>
        <w:t xml:space="preserve">).</w:t>
      </w:r>
    </w:p>
    <w:bookmarkEnd w:id="139"/>
    <w:bookmarkStart w:id="140" w:name="the-managerial-mindset"/>
    <w:p>
      <w:pPr>
        <w:pStyle w:val="Heading2"/>
      </w:pPr>
      <w:r>
        <w:t xml:space="preserve">10.2 The Managerial Mindset</w:t>
      </w:r>
    </w:p>
    <w:p>
      <w:pPr>
        <w:pStyle w:val="FirstParagraph"/>
      </w:pPr>
      <w:r>
        <w:t xml:space="preserve">This shift toward human determination of</w:t>
      </w:r>
      <w:r>
        <w:t xml:space="preserve"> </w:t>
      </w:r>
      <w:r>
        <w:t xml:space="preserve">“what”</w:t>
      </w:r>
      <w:r>
        <w:t xml:space="preserve"> </w:t>
      </w:r>
      <w:r>
        <w:t xml:space="preserve">requires a fundamental transformation in how individuals approach their work. In essence, AI is turning everyone into managers. Just as traditional managers delegate execution to team members while retaining responsibility for direction and strategy, knowledge workers increasingly need to delegate execution to AI while maintaining control over objectives and vision.</w:t>
      </w:r>
    </w:p>
    <w:p>
      <w:pPr>
        <w:pStyle w:val="BodyText"/>
      </w:pPr>
      <w:r>
        <w:t xml:space="preserve">This transition demands a</w:t>
      </w:r>
      <w:r>
        <w:t xml:space="preserve"> </w:t>
      </w:r>
      <w:r>
        <w:t xml:space="preserve">“managerial mindset”</w:t>
      </w:r>
      <w:r>
        <w:t xml:space="preserve">—the ability to define clear objectives, break complex tasks into component parts, evaluate outputs against strategic goals, balance efficiency with quality, and think systemically about unintended consequences. These capabilities have traditionally been developed through years of management experience. Now, they’re becoming essential for individual contributors across industries.</w:t>
      </w:r>
    </w:p>
    <w:p>
      <w:pPr>
        <w:pStyle w:val="BodyText"/>
      </w:pPr>
      <w:r>
        <w:t xml:space="preserve">The most successful professionals won’t be those who execute tasks most efficiently, but those who define problems most effectively and leverage AI to implement solutions. For example, marketing</w:t>
      </w:r>
      <w:r>
        <w:t xml:space="preserve"> </w:t>
      </w:r>
      <w:r>
        <w:t xml:space="preserve">professionals who once spent hours crafting social media posts must now think more strategically about audience segments, messaging strategy, and brand consistency, while delegating content generation to AI tools. The value shifts from copywriting skill to strategic judgment.</w:t>
      </w:r>
    </w:p>
    <w:bookmarkEnd w:id="140"/>
    <w:bookmarkStart w:id="141" w:name="rethinking-ai-implementation"/>
    <w:p>
      <w:pPr>
        <w:pStyle w:val="Heading2"/>
      </w:pPr>
      <w:r>
        <w:t xml:space="preserve">10.3 Rethinking AI Implementation</w:t>
      </w:r>
    </w:p>
    <w:p>
      <w:pPr>
        <w:pStyle w:val="FirstParagraph"/>
      </w:pPr>
      <w:r>
        <w:t xml:space="preserve">Business leaders must shift their AI implementation strategies away from automation-first approaches toward enhancement</w:t>
      </w:r>
      <w:r>
        <w:t xml:space="preserve">-focused frameworks. This requires starting with human decision processes rather than technical capabilities, building trust through transparent division of labor, and investing in managerial capabilities across the organization.</w:t>
      </w:r>
    </w:p>
    <w:p>
      <w:pPr>
        <w:pStyle w:val="BodyText"/>
      </w:pPr>
      <w:r>
        <w:t xml:space="preserve">Goldman Sachs</w:t>
      </w:r>
      <w:r>
        <w:t xml:space="preserve"> </w:t>
      </w:r>
      <w:r>
        <w:t xml:space="preserve">has embraced this approach in its investment research operations. Rather than replacing analysts with automated systems, they’ve implemented AI tools that process vast amounts of financial data, identifying patterns and anomalies for human review. The AI handles the computational complexity (the</w:t>
      </w:r>
      <w:r>
        <w:t xml:space="preserve"> </w:t>
      </w:r>
      <w:r>
        <w:t xml:space="preserve">“how”</w:t>
      </w:r>
      <w:r>
        <w:t xml:space="preserve">), while human analysts maintain responsibility for interpretation and strategic recommendations (the</w:t>
      </w:r>
      <w:r>
        <w:t xml:space="preserve"> </w:t>
      </w:r>
      <w:r>
        <w:t xml:space="preserve">“what”</w:t>
      </w:r>
      <w:r>
        <w:t xml:space="preserve">). This has allowed the firm to increase both the breadth and depth of its research while maintaining the human judgment clients value.</w:t>
      </w:r>
    </w:p>
    <w:p>
      <w:pPr>
        <w:pStyle w:val="BodyText"/>
      </w:pPr>
      <w:r>
        <w:t xml:space="preserve">The human exception</w:t>
      </w:r>
      <w:r>
        <w:t xml:space="preserve"> </w:t>
      </w:r>
      <w:r>
        <w:t xml:space="preserve">in this example isn’t a superficial addition—it’s fundamental to the system’s success. By maintaining human determination of what matters in financial analysis, Goldman preserves the contextual understanding and strategic judgment that clients truly value, while leveraging AI’s computational capabilities to enhance analytical depth.</w:t>
      </w:r>
    </w:p>
    <w:bookmarkEnd w:id="141"/>
    <w:bookmarkStart w:id="142" w:name="educational-transformation"/>
    <w:p>
      <w:pPr>
        <w:pStyle w:val="Heading2"/>
      </w:pPr>
      <w:r>
        <w:t xml:space="preserve">10.4 Educational Transformation</w:t>
      </w:r>
    </w:p>
    <w:p>
      <w:pPr>
        <w:pStyle w:val="FirstParagraph"/>
      </w:pPr>
      <w:r>
        <w:t xml:space="preserve">The shift toward managerial thinking demands fundamental changes in education</w:t>
      </w:r>
      <w:r>
        <w:t xml:space="preserve"> </w:t>
      </w:r>
      <w:r>
        <w:t xml:space="preserve">and professional development. Traditional education has focused heavily on developing</w:t>
      </w:r>
      <w:r>
        <w:t xml:space="preserve"> </w:t>
      </w:r>
      <w:r>
        <w:t xml:space="preserve">“how”</w:t>
      </w:r>
      <w:r>
        <w:t xml:space="preserve"> </w:t>
      </w:r>
      <w:r>
        <w:t xml:space="preserve">skills—teaching specific methodologies, tools, and techniques. Future-oriented education must emphasize</w:t>
      </w:r>
      <w:r>
        <w:t xml:space="preserve"> </w:t>
      </w:r>
      <w:r>
        <w:t xml:space="preserve">“what”</w:t>
      </w:r>
      <w:r>
        <w:t xml:space="preserve"> </w:t>
      </w:r>
      <w:r>
        <w:t xml:space="preserve">capabilities: problem framing, strategic thinking</w:t>
      </w:r>
      <w:r>
        <w:t xml:space="preserve">, and contextual judgment.</w:t>
      </w:r>
    </w:p>
    <w:p>
      <w:pPr>
        <w:pStyle w:val="BodyText"/>
      </w:pPr>
      <w:r>
        <w:t xml:space="preserve">This doesn’t mean technical skills become irrelevant—foundational knowledge remains essential for effective delegation. You can’t effectively direct AI without understanding the domain you’re working in. But the emphasis shifts from memorization and execution to conceptual understanding and strategic application.</w:t>
      </w:r>
    </w:p>
    <w:p>
      <w:pPr>
        <w:pStyle w:val="BodyText"/>
      </w:pPr>
      <w:r>
        <w:t xml:space="preserve">Harvard Business School has begun adapting its curriculum to address this shift. Rather than teaching students to perform financial analyses manually, they now focus on helping students understand when different analytical approaches are appropriate and how to interpret results in strategic contexts. The technical execution is increasingly delegated to software, while human judgment about application and interpretation becomes the focus.</w:t>
      </w:r>
    </w:p>
    <w:p>
      <w:pPr>
        <w:pStyle w:val="BodyText"/>
      </w:pPr>
      <w:r>
        <w:t xml:space="preserve">Similar transformations are needed at all educational levels. Secondary schools must move beyond teaching students to execute algorithms</w:t>
      </w:r>
      <w:r>
        <w:t xml:space="preserve"> </w:t>
      </w:r>
      <w:r>
        <w:t xml:space="preserve">and instead help them understand when different approaches are appropriate. Professional education needs to emphasize strategic thinking and judgment rather than tool proficiency. The goal should be developing individuals who can effectively direct artificial intelligence rather than compete with it.</w:t>
      </w:r>
    </w:p>
    <w:bookmarkEnd w:id="142"/>
    <w:bookmarkStart w:id="143" w:name="policy-imperatives"/>
    <w:p>
      <w:pPr>
        <w:pStyle w:val="Heading2"/>
      </w:pPr>
      <w:r>
        <w:t xml:space="preserve">10.5 Policy Imperatives</w:t>
      </w:r>
    </w:p>
    <w:p>
      <w:pPr>
        <w:pStyle w:val="FirstParagraph"/>
      </w:pPr>
      <w:r>
        <w:t xml:space="preserve">Policymakers face the challenge of fostering AI innovation while ensuring its development serves human interests. Based on the</w:t>
      </w:r>
      <w:r>
        <w:t xml:space="preserve"> </w:t>
      </w:r>
      <w:r>
        <w:t xml:space="preserve">“what-how”</w:t>
      </w:r>
      <w:r>
        <w:t xml:space="preserve"> </w:t>
      </w:r>
      <w:r>
        <w:t xml:space="preserve">framework, we propose that regulations should preserve human determination of</w:t>
      </w:r>
      <w:r>
        <w:t xml:space="preserve"> </w:t>
      </w:r>
      <w:r>
        <w:t xml:space="preserve">“what”</w:t>
      </w:r>
      <w:r>
        <w:t xml:space="preserve"> </w:t>
      </w:r>
      <w:r>
        <w:t xml:space="preserve">by requiring meaningful human oversight of strategic decisions. Critical domains like healthcare and finance should maintain clear boundaries between machine execution and human judgment, and policies should protect against gradual erosion of human agency through excessive automation.</w:t>
      </w:r>
    </w:p>
    <w:p>
      <w:pPr>
        <w:pStyle w:val="BodyText"/>
      </w:pPr>
      <w:r>
        <w:t xml:space="preserve">Promoting transparency</w:t>
      </w:r>
      <w:r>
        <w:t xml:space="preserve"> </w:t>
      </w:r>
      <w:r>
        <w:t xml:space="preserve">in the division of labor is equally important. AI systems should clearly communicate their limitations and confidence levels, organizations should document which decisions remain under human control, and interfaces should make it clear when users are interacting with AI versus humans. These measures help maintain the human element in decision-making</w:t>
      </w:r>
      <w:r>
        <w:t xml:space="preserve"> </w:t>
      </w:r>
      <w:r>
        <w:t xml:space="preserve">by ensuring people understand where their judgment remains essential.</w:t>
      </w:r>
    </w:p>
    <w:p>
      <w:pPr>
        <w:pStyle w:val="BodyText"/>
      </w:pPr>
      <w:r>
        <w:t xml:space="preserve">Japan’s approach to industrial automation offers instructive lessons. Rather than focusing exclusively on replacing human workers, Japanese manufacturers have emphasized</w:t>
      </w:r>
      <w:r>
        <w:t xml:space="preserve"> </w:t>
      </w:r>
      <w:r>
        <w:t xml:space="preserve">“human-centered automation”</w:t>
      </w:r>
      <w:r>
        <w:t xml:space="preserve"> </w:t>
      </w:r>
      <w:r>
        <w:t xml:space="preserve">that enhances worker capabilities while maintaining human judgment in critical decisions. This has allowed them to achieve high productivity while preserving employment and maintaining quality.</w:t>
      </w:r>
    </w:p>
    <w:bookmarkEnd w:id="143"/>
    <w:bookmarkStart w:id="144" w:name="individual-adaptation-strategies"/>
    <w:p>
      <w:pPr>
        <w:pStyle w:val="Heading2"/>
      </w:pPr>
      <w:r>
        <w:t xml:space="preserve">10.6 Individual Adaptation Strategies</w:t>
      </w:r>
    </w:p>
    <w:p>
      <w:pPr>
        <w:pStyle w:val="FirstParagraph"/>
      </w:pPr>
      <w:r>
        <w:t xml:space="preserve">For individuals navigating this shifting landscape, developing a managerial mindset becomes crucial. This means focusing on problem definition rather than execution, building contextual knowledge that transcends specific tools, practicing effective delegation to AI systems, and cultivating judgment through varied experiences.</w:t>
      </w:r>
    </w:p>
    <w:p>
      <w:pPr>
        <w:pStyle w:val="BodyText"/>
      </w:pPr>
      <w:r>
        <w:t xml:space="preserve">Software developers who have embraced this approach report significant productivity gains while maintaining control of strategic direction. Rather than writing code line by line, they focus on system architecture and user needs, delegating implementation details to AI coding assistants. This allows them to create more sophisticated applications while spending more time understanding user requirements and less time on repetitive coding tasks.</w:t>
      </w:r>
    </w:p>
    <w:p>
      <w:pPr>
        <w:pStyle w:val="BodyText"/>
      </w:pPr>
      <w:r>
        <w:t xml:space="preserve">These developers embody the human element in AI-enhanced work: they contribute not through technical execution, which increasingly belongs to machines, but through judgment about what to build and why. Their value comes from understanding user needs, designing coherent systems, and making strategic trade-offs—all capabilities that require human contextual understanding.</w:t>
      </w:r>
    </w:p>
    <w:bookmarkEnd w:id="144"/>
    <w:bookmarkStart w:id="145" w:name="investment-implications-4"/>
    <w:p>
      <w:pPr>
        <w:pStyle w:val="Heading2"/>
      </w:pPr>
      <w:r>
        <w:t xml:space="preserve">10.7 Investment Implications</w:t>
      </w:r>
    </w:p>
    <w:p>
      <w:pPr>
        <w:pStyle w:val="FirstParagraph"/>
      </w:pPr>
      <w:r>
        <w:t xml:space="preserve">For investors and business leaders, the</w:t>
      </w:r>
      <w:r>
        <w:t xml:space="preserve"> </w:t>
      </w:r>
      <w:r>
        <w:t xml:space="preserve">“what-how”</w:t>
      </w:r>
      <w:r>
        <w:t xml:space="preserve"> </w:t>
      </w:r>
      <w:r>
        <w:t xml:space="preserve">framework offers valuable guidance for capital allocation. Organizations most likely to succeed in an AI-enhanced economy are those that invest in developing strategic capabilities throughout the organization, create clear interfaces between human judgment and AI execution, and build cultures that value strategic thinking at all levels.</w:t>
      </w:r>
    </w:p>
    <w:p>
      <w:pPr>
        <w:pStyle w:val="BodyText"/>
      </w:pPr>
      <w:r>
        <w:t xml:space="preserve">Companies that emphasize full automation without preserving space for human judgment typically achieve short-term cost savings at the expense of long-term competitiveness. The most successful implementations maintain</w:t>
      </w:r>
      <w:r>
        <w:t xml:space="preserve"> </w:t>
      </w:r>
      <w:r>
        <w:t xml:space="preserve">“human centrality</w:t>
      </w:r>
      <w:r>
        <w:t xml:space="preserve">”</w:t>
      </w:r>
      <w:r>
        <w:t xml:space="preserve">—keeping humans at the center of strategic decision-making while leveraging AI for execution.</w:t>
      </w:r>
    </w:p>
    <w:p>
      <w:pPr>
        <w:pStyle w:val="BodyText"/>
      </w:pPr>
      <w:r>
        <w:t xml:space="preserve">The human element in these successful companies isn’t peripheral—it’s central to their competitive advantage</w:t>
      </w:r>
      <w:r>
        <w:t xml:space="preserve">. In an age where technical execution increasingly becomes commoditized through AI, human judgment about strategic direction becomes the primary differentiator between organizations.</w:t>
      </w:r>
    </w:p>
    <w:bookmarkEnd w:id="145"/>
    <w:bookmarkStart w:id="146" w:name="looking-forward-the-human-element"/>
    <w:p>
      <w:pPr>
        <w:pStyle w:val="Heading2"/>
      </w:pPr>
      <w:r>
        <w:t xml:space="preserve">10.8 Looking Forward: The Human Element</w:t>
      </w:r>
    </w:p>
    <w:p>
      <w:pPr>
        <w:pStyle w:val="FirstParagraph"/>
      </w:pPr>
      <w:r>
        <w:t xml:space="preserve">The shift toward managerial thinking represents more than a tactical response to AI advancement—it reflects a fundamental evolution in how humans create value. Throughout history, technological revolutions have consistently shifted human contribution up the value chain, from physical labor to knowledge work, and now to judgment and direction.</w:t>
      </w:r>
    </w:p>
    <w:p>
      <w:pPr>
        <w:pStyle w:val="BodyText"/>
      </w:pPr>
      <w:r>
        <w:t xml:space="preserve">This doesn’t mean fewer jobs overall, but rather a transformation in the nature of work. Just as previous technological shifts created entirely new categories of employment, the AI revolution will likely generate roles we cannot yet imagine—but they will almost certainly emphasize human judgment, creativity, and direction rather than technical execution.</w:t>
      </w:r>
    </w:p>
    <w:p>
      <w:pPr>
        <w:pStyle w:val="BodyText"/>
      </w:pPr>
      <w:r>
        <w:t xml:space="preserve">The organizations that thrive in this environment will be those that develop what Peter Drucker called</w:t>
      </w:r>
      <w:r>
        <w:t xml:space="preserve"> </w:t>
      </w:r>
      <w:r>
        <w:t xml:space="preserve">“knowledge executives”</w:t>
      </w:r>
      <w:r>
        <w:t xml:space="preserve">—individuals at all levels who take responsibility not just for doing work but for defining what work should be done. The educational institutions that succeed will be those that shift from teaching execution to developing judgment. And the societies that prosper will be those that invest in the distinctly human capabilities that AI cannot replicate.</w:t>
      </w:r>
    </w:p>
    <w:p>
      <w:pPr>
        <w:pStyle w:val="BodyText"/>
      </w:pPr>
      <w:r>
        <w:t xml:space="preserve">The future belongs not to those who execute tasks most efficiently, but to those who determine which tasks are worth doing in the first place. By embracing this managerial mindset and building systems that enhance rather than replace human judgment, we can create a future where artificial intelligence truly serves human flourishing.</w:t>
      </w:r>
    </w:p>
    <w:p>
      <w:pPr>
        <w:pStyle w:val="BodyText"/>
      </w:pPr>
      <w:r>
        <w:t xml:space="preserve">This, ultimately, is the human element in the AI revolution: not the physical presence of people in workflows, but the preservation of human judgment in determining what matters. As AI increasingly handles the</w:t>
      </w:r>
      <w:r>
        <w:t xml:space="preserve"> </w:t>
      </w:r>
      <w:r>
        <w:t xml:space="preserve">“how,”</w:t>
      </w:r>
      <w:r>
        <w:t xml:space="preserve"> </w:t>
      </w:r>
      <w:r>
        <w:t xml:space="preserve">the essence of humanity—our ability to determine</w:t>
      </w:r>
      <w:r>
        <w:t xml:space="preserve"> </w:t>
      </w:r>
      <w:r>
        <w:t xml:space="preserve">“what”</w:t>
      </w:r>
      <w:r>
        <w:t xml:space="preserve"> </w:t>
      </w:r>
      <w:r>
        <w:t xml:space="preserve">deserves attention and why—becomes more valuable, not less. The human element isn’t just an addition to AI systems; it’s what gives them purpose and direction. In the AI-enhanced future, the most important contribution we make won’t be execution but decision—not how, but what.</w:t>
      </w:r>
    </w:p>
    <w:bookmarkEnd w:id="146"/>
    <w:bookmarkEnd w:id="147"/>
    <w:bookmarkStart w:id="149" w:name="summary"/>
    <w:p>
      <w:pPr>
        <w:pStyle w:val="Heading1"/>
      </w:pPr>
      <w:r>
        <w:t xml:space="preserve">Summary</w:t>
      </w:r>
    </w:p>
    <w:bookmarkStart w:id="148" w:name="X496e829ca4a624815caffd3f38f8ba034995061"/>
    <w:p>
      <w:pPr>
        <w:pStyle w:val="Heading2"/>
      </w:pPr>
      <w:r>
        <w:t xml:space="preserve">Building the Future: A Human-Centric Vision for AI</w:t>
      </w:r>
    </w:p>
    <w:p>
      <w:pPr>
        <w:pStyle w:val="FirstParagraph"/>
      </w:pPr>
      <w:r>
        <w:t xml:space="preserve">Throughout this book, we’ve explored why artificial intelligence</w:t>
      </w:r>
      <w:r>
        <w:t xml:space="preserve"> </w:t>
      </w:r>
      <w:r>
        <w:t xml:space="preserve">will enhance rather than replace human capabilities</w:t>
      </w:r>
      <w:r>
        <w:t xml:space="preserve">.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w:t>
      </w:r>
      <w:r>
        <w:t xml:space="preserve">, but in finding the sweet spot where AI enhances human judgment</w:t>
      </w:r>
      <w:r>
        <w:t xml:space="preserve">.</w:t>
      </w:r>
    </w:p>
    <w:p>
      <w:pPr>
        <w:pStyle w:val="BodyText"/>
      </w:pPr>
      <w:r>
        <w:t xml:space="preserve">The financial sector provides compelling evidence for this enhancement</w:t>
      </w:r>
      <w:r>
        <w:t xml:space="preserve"> </w:t>
      </w:r>
      <w:r>
        <w:t xml:space="preserve">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w:t>
      </w:r>
      <w:r>
        <w:t xml:space="preserve">’s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w:t>
      </w:r>
      <w:r>
        <w:t xml:space="preserv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18"/>
        </w:numPr>
      </w:pPr>
      <w:r>
        <w:t xml:space="preserve">Maintain human agency</w:t>
      </w:r>
      <w:r>
        <w:t xml:space="preserve"> </w:t>
      </w:r>
      <w:r>
        <w:t xml:space="preserve">and judgment at the center of decision-making</w:t>
      </w:r>
    </w:p>
    <w:p>
      <w:pPr>
        <w:pStyle w:val="Compact"/>
        <w:numPr>
          <w:ilvl w:val="0"/>
          <w:numId w:val="1018"/>
        </w:numPr>
      </w:pPr>
      <w:r>
        <w:t xml:space="preserve">Design AI systems that complement rather than replace human capabilities</w:t>
      </w:r>
    </w:p>
    <w:p>
      <w:pPr>
        <w:pStyle w:val="Compact"/>
        <w:numPr>
          <w:ilvl w:val="0"/>
          <w:numId w:val="1018"/>
        </w:numPr>
      </w:pPr>
      <w:r>
        <w:t xml:space="preserve">Focus on transparency</w:t>
      </w:r>
      <w:r>
        <w:t xml:space="preserve"> </w:t>
      </w:r>
      <w:r>
        <w:t xml:space="preserve">and explainability in AI systems</w:t>
      </w:r>
    </w:p>
    <w:p>
      <w:pPr>
        <w:pStyle w:val="Compact"/>
        <w:numPr>
          <w:ilvl w:val="0"/>
          <w:numId w:val="1018"/>
        </w:numPr>
      </w:pPr>
      <w:r>
        <w:t xml:space="preserve">Prioritize human-AI collaboration</w:t>
      </w:r>
      <w:r>
        <w:t xml:space="preserve"> </w:t>
      </w:r>
      <w:r>
        <w:t xml:space="preserve">over full automation</w:t>
      </w:r>
    </w:p>
    <w:p>
      <w:pPr>
        <w:pStyle w:val="Compact"/>
        <w:numPr>
          <w:ilvl w:val="0"/>
          <w:numId w:val="1018"/>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w:t>
      </w:r>
      <w:r>
        <w:t xml:space="preserve"> </w:t>
      </w:r>
      <w:r>
        <w:t xml:space="preserve">and training programs that prepare workers for human-AI collaboration, and incentives for companies developing enhancement-focused AI applications.</w:t>
      </w:r>
    </w:p>
    <w:p>
      <w:pPr>
        <w:pStyle w:val="BodyText"/>
      </w:pPr>
      <w:r>
        <w:t xml:space="preserve">The attempt to complete Beethoven</w:t>
      </w:r>
      <w:r>
        <w:t xml:space="preserve">’s tenth symphony</w:t>
      </w:r>
      <w:r>
        <w:t xml:space="preserve"> </w:t>
      </w:r>
      <w:r>
        <w:t xml:space="preserve">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w:t>
      </w:r>
      <w:r>
        <w:t xml:space="preserve">, or any other sector, success will come from finding ways to combine human judgment with AI capabilities. The human exception</w:t>
      </w:r>
      <w:r>
        <w:t xml:space="preserve"> </w:t>
      </w:r>
      <w:r>
        <w:t xml:space="preserve">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48"/>
    <w:bookmarkEnd w:id="149"/>
    <w:bookmarkStart w:id="150" w:name="about-the-authors"/>
    <w:p>
      <w:pPr>
        <w:pStyle w:val="Heading1"/>
      </w:pPr>
      <w:r>
        <w:t xml:space="preserve">About the Authors</w:t>
      </w:r>
    </w:p>
    <w:p>
      <w:pPr>
        <w:pStyle w:val="FirstParagraph"/>
      </w:pPr>
      <w:r>
        <w:t xml:space="preserve">Sami J. Karam has worked in the financial markets for over three decades. He was formerly a fund manager at his own firm Seven Global LP and at top asset managers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r>
        <w:pict>
          <v:rect style="width:0;height:1.5pt" o:hralign="center" o:hrstd="t" o:hr="t"/>
        </w:pict>
      </w:r>
    </w:p>
    <w:p>
      <w:pPr>
        <w:pStyle w:val="FirstParagraph"/>
      </w:pPr>
      <w:r>
        <w:t xml:space="preserve">Richard Sprague has worked in technology for decades. He co-authors with Sami the weekly InvestAI etc. column at The Wednesday Letter Substack.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w:t>
      </w:r>
      <w:r>
        <w:t xml:space="preserve"> </w:t>
      </w:r>
      <w:r>
        <w:t xml:space="preserve">where he led the Beijing-based development of Mac Excel. He currently works with startups building</w:t>
      </w:r>
      <w:r>
        <w:t xml:space="preserve"> </w:t>
      </w:r>
      <w:r>
        <w:t xml:space="preserve">“personal science”</w:t>
      </w:r>
      <w:r>
        <w:t xml:space="preserve">: applying the latest technology to personalized health and wellness.</w:t>
      </w:r>
    </w:p>
    <w:bookmarkEnd w:id="150"/>
    <w:bookmarkStart w:id="346" w:name="references"/>
    <w:p>
      <w:pPr>
        <w:pStyle w:val="Heading1"/>
      </w:pPr>
      <w:r>
        <w:t xml:space="preserve">References</w:t>
      </w:r>
    </w:p>
    <w:bookmarkStart w:id="345" w:name="refs"/>
    <w:bookmarkStart w:id="152"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51">
        <w:r>
          <w:rPr>
            <w:rStyle w:val="Hyperlink"/>
          </w:rPr>
          <w:t xml:space="preserve">http://arxiv.org/abs/2404.14219</w:t>
        </w:r>
      </w:hyperlink>
      <w:r>
        <w:t xml:space="preserve">.</w:t>
      </w:r>
    </w:p>
    <w:bookmarkEnd w:id="152"/>
    <w:bookmarkStart w:id="154"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53">
        <w:r>
          <w:rPr>
            <w:rStyle w:val="Hyperlink"/>
          </w:rPr>
          <w:t xml:space="preserve">http://arxiv.org/abs/2403.04652</w:t>
        </w:r>
      </w:hyperlink>
      <w:r>
        <w:t xml:space="preserve">.</w:t>
      </w:r>
    </w:p>
    <w:bookmarkEnd w:id="154"/>
    <w:bookmarkStart w:id="156"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55">
        <w:r>
          <w:rPr>
            <w:rStyle w:val="Hyperlink"/>
          </w:rPr>
          <w:t xml:space="preserve">https://doi.org/10.1101/2023.09.11.556673</w:t>
        </w:r>
      </w:hyperlink>
      <w:r>
        <w:t xml:space="preserve">.</w:t>
      </w:r>
    </w:p>
    <w:bookmarkEnd w:id="156"/>
    <w:bookmarkStart w:id="158"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57">
        <w:r>
          <w:rPr>
            <w:rStyle w:val="Hyperlink"/>
          </w:rPr>
          <w:t xml:space="preserve">https://doi.org/10.1145/3442188.3445922</w:t>
        </w:r>
      </w:hyperlink>
      <w:r>
        <w:t xml:space="preserve">.</w:t>
      </w:r>
    </w:p>
    <w:bookmarkEnd w:id="158"/>
    <w:bookmarkStart w:id="160"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59">
        <w:r>
          <w:rPr>
            <w:rStyle w:val="Hyperlink"/>
          </w:rPr>
          <w:t xml:space="preserve">http://arxiv.org/abs/2309.12288</w:t>
        </w:r>
      </w:hyperlink>
      <w:r>
        <w:t xml:space="preserve">.</w:t>
      </w:r>
    </w:p>
    <w:bookmarkEnd w:id="160"/>
    <w:bookmarkStart w:id="162" w:name="ref-bloom_are_2020"/>
    <w:p>
      <w:pPr>
        <w:pStyle w:val="Bibliography"/>
      </w:pPr>
      <w:r>
        <w:t xml:space="preserve">Bloom, Nicholas, Charles I. Jones, John Van Reenen, and Michael Webb. 2020.</w:t>
      </w:r>
      <w:r>
        <w:t xml:space="preserve"> </w:t>
      </w:r>
      <w:r>
        <w:t xml:space="preserve">“Are</w:t>
      </w:r>
      <w:r>
        <w:t xml:space="preserve"> </w:t>
      </w:r>
      <w:r>
        <w:t xml:space="preserve">Ideas</w:t>
      </w:r>
      <w:r>
        <w:t xml:space="preserve"> </w:t>
      </w:r>
      <w:r>
        <w:t xml:space="preserve">Getting</w:t>
      </w:r>
      <w:r>
        <w:t xml:space="preserve"> </w:t>
      </w:r>
      <w:r>
        <w:t xml:space="preserve">Harder</w:t>
      </w:r>
      <w:r>
        <w:t xml:space="preserve"> </w:t>
      </w:r>
      <w:r>
        <w:t xml:space="preserve">to</w:t>
      </w:r>
      <w:r>
        <w:t xml:space="preserve"> </w:t>
      </w:r>
      <w:r>
        <w:t xml:space="preserve">Find</w:t>
      </w:r>
      <w:r>
        <w:t xml:space="preserve">?”</w:t>
      </w:r>
      <w:r>
        <w:t xml:space="preserve"> </w:t>
      </w:r>
      <w:r>
        <w:rPr>
          <w:i/>
          <w:iCs/>
        </w:rPr>
        <w:t xml:space="preserve">American Economic Review</w:t>
      </w:r>
      <w:r>
        <w:t xml:space="preserve"> </w:t>
      </w:r>
      <w:r>
        <w:t xml:space="preserve">110 (4): 1104–44.</w:t>
      </w:r>
      <w:r>
        <w:t xml:space="preserve"> </w:t>
      </w:r>
      <w:hyperlink r:id="rId161">
        <w:r>
          <w:rPr>
            <w:rStyle w:val="Hyperlink"/>
          </w:rPr>
          <w:t xml:space="preserve">https://doi.org/10.1257/aer.20180338</w:t>
        </w:r>
      </w:hyperlink>
      <w:r>
        <w:t xml:space="preserve">.</w:t>
      </w:r>
    </w:p>
    <w:bookmarkEnd w:id="162"/>
    <w:bookmarkStart w:id="164" w:name="ref-brooks_predictions_2025"/>
    <w:p>
      <w:pPr>
        <w:pStyle w:val="Bibliography"/>
      </w:pPr>
      <w:r>
        <w:t xml:space="preserve">Brooks, Rodney. 2025.</w:t>
      </w:r>
      <w:r>
        <w:t xml:space="preserve"> </w:t>
      </w:r>
      <w:r>
        <w:t xml:space="preserve">“Predictions</w:t>
      </w:r>
      <w:r>
        <w:t xml:space="preserve"> </w:t>
      </w:r>
      <w:r>
        <w:t xml:space="preserve">Scorecard</w:t>
      </w:r>
      <w:r>
        <w:t xml:space="preserve">, 2025</w:t>
      </w:r>
      <w:r>
        <w:t xml:space="preserve"> </w:t>
      </w:r>
      <w:r>
        <w:t xml:space="preserve">January</w:t>
      </w:r>
      <w:r>
        <w:t xml:space="preserve"> </w:t>
      </w:r>
      <w:r>
        <w:t xml:space="preserve">01.”</w:t>
      </w:r>
      <w:r>
        <w:t xml:space="preserve"> </w:t>
      </w:r>
      <w:r>
        <w:rPr>
          <w:i/>
          <w:iCs/>
        </w:rPr>
        <w:t xml:space="preserve">Robots, AI, and Other Stuff</w:t>
      </w:r>
      <w:r>
        <w:t xml:space="preserve">.</w:t>
      </w:r>
      <w:r>
        <w:t xml:space="preserve"> </w:t>
      </w:r>
      <w:hyperlink r:id="rId163">
        <w:r>
          <w:rPr>
            <w:rStyle w:val="Hyperlink"/>
          </w:rPr>
          <w:t xml:space="preserve">https://rodneybrooks.com/predictions-scorecard-2025-january-01/</w:t>
        </w:r>
      </w:hyperlink>
      <w:r>
        <w:t xml:space="preserve">.</w:t>
      </w:r>
    </w:p>
    <w:bookmarkEnd w:id="164"/>
    <w:bookmarkStart w:id="166"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65">
        <w:r>
          <w:rPr>
            <w:rStyle w:val="Hyperlink"/>
          </w:rPr>
          <w:t xml:space="preserve">http://arxiv.org/abs/2312.16171</w:t>
        </w:r>
      </w:hyperlink>
      <w:r>
        <w:t xml:space="preserve">.</w:t>
      </w:r>
    </w:p>
    <w:bookmarkEnd w:id="166"/>
    <w:bookmarkStart w:id="168"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67">
        <w:r>
          <w:rPr>
            <w:rStyle w:val="Hyperlink"/>
          </w:rPr>
          <w:t xml:space="preserve">https://doi.org/10.1038/s41598-024-61221-0</w:t>
        </w:r>
      </w:hyperlink>
      <w:r>
        <w:t xml:space="preserve">.</w:t>
      </w:r>
    </w:p>
    <w:bookmarkEnd w:id="168"/>
    <w:bookmarkStart w:id="170"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69">
        <w:r>
          <w:rPr>
            <w:rStyle w:val="Hyperlink"/>
          </w:rPr>
          <w:t xml:space="preserve">https://doi.org/10.48550/ARXIV.2308.08708</w:t>
        </w:r>
      </w:hyperlink>
      <w:r>
        <w:t xml:space="preserve">.</w:t>
      </w:r>
    </w:p>
    <w:bookmarkEnd w:id="170"/>
    <w:bookmarkStart w:id="172"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71">
        <w:r>
          <w:rPr>
            <w:rStyle w:val="Hyperlink"/>
          </w:rPr>
          <w:t xml:space="preserve">http://arxiv.org/abs/2403.06634</w:t>
        </w:r>
      </w:hyperlink>
      <w:r>
        <w:t xml:space="preserve">.</w:t>
      </w:r>
    </w:p>
    <w:bookmarkEnd w:id="172"/>
    <w:bookmarkStart w:id="174"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73">
        <w:r>
          <w:rPr>
            <w:rStyle w:val="Hyperlink"/>
          </w:rPr>
          <w:t xml:space="preserve">https://doi.org/10.48550/ARXIV.2305.00118</w:t>
        </w:r>
      </w:hyperlink>
      <w:r>
        <w:t xml:space="preserve">.</w:t>
      </w:r>
    </w:p>
    <w:bookmarkEnd w:id="174"/>
    <w:bookmarkStart w:id="176"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75">
        <w:r>
          <w:rPr>
            <w:rStyle w:val="Hyperlink"/>
          </w:rPr>
          <w:t xml:space="preserve">http://arxiv.org/abs/2305.00118</w:t>
        </w:r>
      </w:hyperlink>
      <w:r>
        <w:t xml:space="preserve">.</w:t>
      </w:r>
    </w:p>
    <w:bookmarkEnd w:id="176"/>
    <w:bookmarkStart w:id="178"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77">
        <w:r>
          <w:rPr>
            <w:rStyle w:val="Hyperlink"/>
          </w:rPr>
          <w:t xml:space="preserve">https://doi.org/10.1038/s41591-018-0107-6</w:t>
        </w:r>
      </w:hyperlink>
      <w:r>
        <w:t xml:space="preserve">.</w:t>
      </w:r>
    </w:p>
    <w:bookmarkEnd w:id="178"/>
    <w:bookmarkStart w:id="180"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79">
        <w:r>
          <w:rPr>
            <w:rStyle w:val="Hyperlink"/>
          </w:rPr>
          <w:t xml:space="preserve">http://arxiv.org/abs/2309.03613</w:t>
        </w:r>
      </w:hyperlink>
      <w:r>
        <w:t xml:space="preserve">.</w:t>
      </w:r>
    </w:p>
    <w:bookmarkEnd w:id="180"/>
    <w:bookmarkStart w:id="182"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81">
        <w:r>
          <w:rPr>
            <w:rStyle w:val="Hyperlink"/>
          </w:rPr>
          <w:t xml:space="preserve">https://doi.org/10.48550/ARXIV.2104.08758</w:t>
        </w:r>
      </w:hyperlink>
      <w:r>
        <w:t xml:space="preserve">.</w:t>
      </w:r>
    </w:p>
    <w:bookmarkEnd w:id="182"/>
    <w:bookmarkStart w:id="184"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83">
        <w:r>
          <w:rPr>
            <w:rStyle w:val="Hyperlink"/>
          </w:rPr>
          <w:t xml:space="preserve">https://doi.org/10.1080/09515080701239510</w:t>
        </w:r>
      </w:hyperlink>
      <w:r>
        <w:t xml:space="preserve">.</w:t>
      </w:r>
    </w:p>
    <w:bookmarkEnd w:id="184"/>
    <w:bookmarkStart w:id="186"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85">
        <w:r>
          <w:rPr>
            <w:rStyle w:val="Hyperlink"/>
          </w:rPr>
          <w:t xml:space="preserve">https://epochai.org/data/large-scale-ai-models</w:t>
        </w:r>
      </w:hyperlink>
      <w:r>
        <w:t xml:space="preserve">.</w:t>
      </w:r>
    </w:p>
    <w:bookmarkEnd w:id="186"/>
    <w:bookmarkStart w:id="188"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87">
        <w:r>
          <w:rPr>
            <w:rStyle w:val="Hyperlink"/>
          </w:rPr>
          <w:t xml:space="preserve">http://arxiv.org/abs/2309.11690</w:t>
        </w:r>
      </w:hyperlink>
      <w:r>
        <w:t xml:space="preserve">.</w:t>
      </w:r>
    </w:p>
    <w:bookmarkEnd w:id="188"/>
    <w:bookmarkStart w:id="190"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89">
        <w:r>
          <w:rPr>
            <w:rStyle w:val="Hyperlink"/>
          </w:rPr>
          <w:t xml:space="preserve">https://doi.org/10.1038/s41591-018-0316-z</w:t>
        </w:r>
      </w:hyperlink>
      <w:r>
        <w:t xml:space="preserve">.</w:t>
      </w:r>
    </w:p>
    <w:bookmarkEnd w:id="190"/>
    <w:bookmarkStart w:id="192"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91">
        <w:r>
          <w:rPr>
            <w:rStyle w:val="Hyperlink"/>
          </w:rPr>
          <w:t xml:space="preserve">https://doi.org/10.48550/ARXIV.2305.08283</w:t>
        </w:r>
      </w:hyperlink>
      <w:r>
        <w:t xml:space="preserve">.</w:t>
      </w:r>
    </w:p>
    <w:bookmarkEnd w:id="192"/>
    <w:bookmarkStart w:id="194"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93">
        <w:r>
          <w:rPr>
            <w:rStyle w:val="Hyperlink"/>
          </w:rPr>
          <w:t xml:space="preserve">https://doi.org/10.1001/jamanetworkopen.2024.40969</w:t>
        </w:r>
      </w:hyperlink>
      <w:r>
        <w:t xml:space="preserve">.</w:t>
      </w:r>
    </w:p>
    <w:bookmarkEnd w:id="194"/>
    <w:bookmarkStart w:id="196"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95">
        <w:r>
          <w:rPr>
            <w:rStyle w:val="Hyperlink"/>
          </w:rPr>
          <w:t xml:space="preserve">https://doi.org/10.1126/science.adi1778</w:t>
        </w:r>
      </w:hyperlink>
      <w:r>
        <w:t xml:space="preserve">.</w:t>
      </w:r>
    </w:p>
    <w:bookmarkEnd w:id="196"/>
    <w:bookmarkStart w:id="198"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197">
        <w:r>
          <w:rPr>
            <w:rStyle w:val="Hyperlink"/>
          </w:rPr>
          <w:t xml:space="preserve">http://arxiv.org/abs/2308.12539</w:t>
        </w:r>
      </w:hyperlink>
      <w:r>
        <w:t xml:space="preserve">.</w:t>
      </w:r>
    </w:p>
    <w:bookmarkEnd w:id="198"/>
    <w:bookmarkStart w:id="200"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199">
        <w:r>
          <w:rPr>
            <w:rStyle w:val="Hyperlink"/>
          </w:rPr>
          <w:t xml:space="preserve">http://arxiv.org/abs/2404.03264</w:t>
        </w:r>
      </w:hyperlink>
      <w:r>
        <w:t xml:space="preserve">.</w:t>
      </w:r>
    </w:p>
    <w:bookmarkEnd w:id="200"/>
    <w:bookmarkStart w:id="202"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01">
        <w:r>
          <w:rPr>
            <w:rStyle w:val="Hyperlink"/>
          </w:rPr>
          <w:t xml:space="preserve">http://arxiv.org/abs/2302.09210</w:t>
        </w:r>
      </w:hyperlink>
      <w:r>
        <w:t xml:space="preserve">.</w:t>
      </w:r>
    </w:p>
    <w:bookmarkEnd w:id="202"/>
    <w:bookmarkStart w:id="204"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03">
        <w:r>
          <w:rPr>
            <w:rStyle w:val="Hyperlink"/>
          </w:rPr>
          <w:t xml:space="preserve">https://doi.org/10.1007/s10676-024-09775-5</w:t>
        </w:r>
      </w:hyperlink>
      <w:r>
        <w:t xml:space="preserve">.</w:t>
      </w:r>
    </w:p>
    <w:bookmarkEnd w:id="204"/>
    <w:bookmarkStart w:id="206"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05">
        <w:r>
          <w:rPr>
            <w:rStyle w:val="Hyperlink"/>
          </w:rPr>
          <w:t xml:space="preserve">http://arxiv.org/abs/2203.15556</w:t>
        </w:r>
      </w:hyperlink>
      <w:r>
        <w:t xml:space="preserve">.</w:t>
      </w:r>
    </w:p>
    <w:bookmarkEnd w:id="206"/>
    <w:bookmarkStart w:id="208"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07">
        <w:r>
          <w:rPr>
            <w:rStyle w:val="Hyperlink"/>
          </w:rPr>
          <w:t xml:space="preserve">https://doi.org/10.1093/jncics/pkad010</w:t>
        </w:r>
      </w:hyperlink>
      <w:r>
        <w:t xml:space="preserve">.</w:t>
      </w:r>
    </w:p>
    <w:bookmarkEnd w:id="208"/>
    <w:bookmarkStart w:id="210"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09">
        <w:r>
          <w:rPr>
            <w:rStyle w:val="Hyperlink"/>
          </w:rPr>
          <w:t xml:space="preserve">https://doi.org/10.2196/48966</w:t>
        </w:r>
      </w:hyperlink>
      <w:r>
        <w:t xml:space="preserve">.</w:t>
      </w:r>
    </w:p>
    <w:bookmarkEnd w:id="210"/>
    <w:bookmarkStart w:id="212"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11">
        <w:r>
          <w:rPr>
            <w:rStyle w:val="Hyperlink"/>
          </w:rPr>
          <w:t xml:space="preserve">https://doi.org/10.2139/ssrn.2325101</w:t>
        </w:r>
      </w:hyperlink>
      <w:r>
        <w:t xml:space="preserve">.</w:t>
      </w:r>
    </w:p>
    <w:bookmarkEnd w:id="212"/>
    <w:bookmarkStart w:id="214"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13">
        <w:r>
          <w:rPr>
            <w:rStyle w:val="Hyperlink"/>
          </w:rPr>
          <w:t xml:space="preserve">http://arxiv.org/abs/2404.18021</w:t>
        </w:r>
      </w:hyperlink>
      <w:r>
        <w:t xml:space="preserve">.</w:t>
      </w:r>
    </w:p>
    <w:bookmarkEnd w:id="214"/>
    <w:bookmarkStart w:id="216"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15">
        <w:r>
          <w:rPr>
            <w:rStyle w:val="Hyperlink"/>
          </w:rPr>
          <w:t xml:space="preserve">https://doi.org/10.1073/pnas.2304748120</w:t>
        </w:r>
      </w:hyperlink>
      <w:r>
        <w:t xml:space="preserve">.</w:t>
      </w:r>
    </w:p>
    <w:bookmarkEnd w:id="216"/>
    <w:bookmarkStart w:id="218"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17">
        <w:r>
          <w:rPr>
            <w:rStyle w:val="Hyperlink"/>
          </w:rPr>
          <w:t xml:space="preserve">https://doi.org/10.48550/ARXIV.2305.08596</w:t>
        </w:r>
      </w:hyperlink>
      <w:r>
        <w:t xml:space="preserve">.</w:t>
      </w:r>
    </w:p>
    <w:bookmarkEnd w:id="218"/>
    <w:bookmarkStart w:id="220"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19">
        <w:r>
          <w:rPr>
            <w:rStyle w:val="Hyperlink"/>
          </w:rPr>
          <w:t xml:space="preserve">http://arxiv.org/abs/2402.04845</w:t>
        </w:r>
      </w:hyperlink>
      <w:r>
        <w:t xml:space="preserve">.</w:t>
      </w:r>
    </w:p>
    <w:bookmarkEnd w:id="220"/>
    <w:bookmarkStart w:id="222"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21">
        <w:r>
          <w:rPr>
            <w:rStyle w:val="Hyperlink"/>
          </w:rPr>
          <w:t xml:space="preserve">https://doi.org/10.48550/ARXIV.2307.10169</w:t>
        </w:r>
      </w:hyperlink>
      <w:r>
        <w:t xml:space="preserve">.</w:t>
      </w:r>
    </w:p>
    <w:bookmarkEnd w:id="222"/>
    <w:bookmarkStart w:id="224"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23">
        <w:r>
          <w:rPr>
            <w:rStyle w:val="Hyperlink"/>
          </w:rPr>
          <w:t xml:space="preserve">http://arxiv.org/abs/2401.06416</w:t>
        </w:r>
      </w:hyperlink>
      <w:r>
        <w:t xml:space="preserve">.</w:t>
      </w:r>
    </w:p>
    <w:bookmarkEnd w:id="224"/>
    <w:bookmarkStart w:id="226"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25">
        <w:r>
          <w:rPr>
            <w:rStyle w:val="Hyperlink"/>
          </w:rPr>
          <w:t xml:space="preserve">https://doi.org/10.1001/jama.2023.8288</w:t>
        </w:r>
      </w:hyperlink>
      <w:r>
        <w:t xml:space="preserve">.</w:t>
      </w:r>
    </w:p>
    <w:bookmarkEnd w:id="226"/>
    <w:bookmarkStart w:id="228"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27">
        <w:r>
          <w:rPr>
            <w:rStyle w:val="Hyperlink"/>
          </w:rPr>
          <w:t xml:space="preserve">https://doi.org/10.1016/j.mcpdig.2023.08.005</w:t>
        </w:r>
      </w:hyperlink>
      <w:r>
        <w:t xml:space="preserve">.</w:t>
      </w:r>
    </w:p>
    <w:bookmarkEnd w:id="228"/>
    <w:bookmarkStart w:id="230"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29">
        <w:r>
          <w:rPr>
            <w:rStyle w:val="Hyperlink"/>
          </w:rPr>
          <w:t xml:space="preserve">https://doi.org/10.1038/s41571-020-0329-7</w:t>
        </w:r>
      </w:hyperlink>
      <w:r>
        <w:t xml:space="preserve">.</w:t>
      </w:r>
    </w:p>
    <w:bookmarkEnd w:id="230"/>
    <w:bookmarkStart w:id="232"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31">
        <w:r>
          <w:rPr>
            <w:rStyle w:val="Hyperlink"/>
          </w:rPr>
          <w:t xml:space="preserve">http://arxiv.org/abs/2401.06866</w:t>
        </w:r>
      </w:hyperlink>
      <w:r>
        <w:t xml:space="preserve">.</w:t>
      </w:r>
    </w:p>
    <w:bookmarkEnd w:id="232"/>
    <w:bookmarkStart w:id="234"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33">
        <w:r>
          <w:rPr>
            <w:rStyle w:val="Hyperlink"/>
          </w:rPr>
          <w:t xml:space="preserve">https://doi.org/10.1101/2022.12.19.22283643</w:t>
        </w:r>
      </w:hyperlink>
      <w:r>
        <w:t xml:space="preserve">.</w:t>
      </w:r>
    </w:p>
    <w:bookmarkEnd w:id="234"/>
    <w:bookmarkStart w:id="235"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35"/>
    <w:bookmarkStart w:id="236"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36"/>
    <w:bookmarkStart w:id="238"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37">
        <w:r>
          <w:rPr>
            <w:rStyle w:val="Hyperlink"/>
          </w:rPr>
          <w:t xml:space="preserve">https://doi.org/10.1016/j.oret.2016.12.009</w:t>
        </w:r>
      </w:hyperlink>
      <w:r>
        <w:t xml:space="preserve">.</w:t>
      </w:r>
    </w:p>
    <w:bookmarkEnd w:id="238"/>
    <w:bookmarkStart w:id="240"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39">
        <w:r>
          <w:rPr>
            <w:rStyle w:val="Hyperlink"/>
          </w:rPr>
          <w:t xml:space="preserve">https://doi.org/10.1056/NEJMsr2214184</w:t>
        </w:r>
      </w:hyperlink>
      <w:r>
        <w:t xml:space="preserve">.</w:t>
      </w:r>
    </w:p>
    <w:bookmarkEnd w:id="240"/>
    <w:bookmarkStart w:id="241"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41"/>
    <w:bookmarkStart w:id="243"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42">
        <w:r>
          <w:rPr>
            <w:rStyle w:val="Hyperlink"/>
          </w:rPr>
          <w:t xml:space="preserve">http://arxiv.org/abs/2210.12889</w:t>
        </w:r>
      </w:hyperlink>
      <w:r>
        <w:t xml:space="preserve">.</w:t>
      </w:r>
    </w:p>
    <w:bookmarkEnd w:id="243"/>
    <w:bookmarkStart w:id="245"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44">
        <w:r>
          <w:rPr>
            <w:rStyle w:val="Hyperlink"/>
          </w:rPr>
          <w:t xml:space="preserve">http://arxiv.org/abs/2308.04445</w:t>
        </w:r>
      </w:hyperlink>
      <w:r>
        <w:t xml:space="preserve">.</w:t>
      </w:r>
    </w:p>
    <w:bookmarkEnd w:id="245"/>
    <w:bookmarkStart w:id="247"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46">
        <w:r>
          <w:rPr>
            <w:rStyle w:val="Hyperlink"/>
          </w:rPr>
          <w:t xml:space="preserve">http://arxiv.org/abs/2403.20041</w:t>
        </w:r>
      </w:hyperlink>
      <w:r>
        <w:t xml:space="preserve">.</w:t>
      </w:r>
    </w:p>
    <w:bookmarkEnd w:id="247"/>
    <w:bookmarkStart w:id="249"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48">
        <w:r>
          <w:rPr>
            <w:rStyle w:val="Hyperlink"/>
          </w:rPr>
          <w:t xml:space="preserve">http://arxiv.org/abs/2304.09848</w:t>
        </w:r>
      </w:hyperlink>
      <w:r>
        <w:t xml:space="preserve">.</w:t>
      </w:r>
    </w:p>
    <w:bookmarkEnd w:id="249"/>
    <w:bookmarkStart w:id="251"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50">
        <w:r>
          <w:rPr>
            <w:rStyle w:val="Hyperlink"/>
          </w:rPr>
          <w:t xml:space="preserve">https://doi.org/10.48550/ARXIV.2308.03688</w:t>
        </w:r>
      </w:hyperlink>
      <w:r>
        <w:t xml:space="preserve">.</w:t>
      </w:r>
    </w:p>
    <w:bookmarkEnd w:id="251"/>
    <w:bookmarkStart w:id="253"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52">
        <w:r>
          <w:rPr>
            <w:rStyle w:val="Hyperlink"/>
          </w:rPr>
          <w:t xml:space="preserve">http://arxiv.org/abs/2402.14905</w:t>
        </w:r>
      </w:hyperlink>
      <w:r>
        <w:t xml:space="preserve">.</w:t>
      </w:r>
    </w:p>
    <w:bookmarkEnd w:id="253"/>
    <w:bookmarkStart w:id="255"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54">
        <w:r>
          <w:rPr>
            <w:rStyle w:val="Hyperlink"/>
          </w:rPr>
          <w:t xml:space="preserve">https://doi.org/10.48550/ARXIV.2209.07663</w:t>
        </w:r>
      </w:hyperlink>
      <w:r>
        <w:t xml:space="preserve">.</w:t>
      </w:r>
    </w:p>
    <w:bookmarkEnd w:id="255"/>
    <w:bookmarkStart w:id="257"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56">
        <w:r>
          <w:rPr>
            <w:rStyle w:val="Hyperlink"/>
          </w:rPr>
          <w:t xml:space="preserve">http://arxiv.org/abs/2408.06292</w:t>
        </w:r>
      </w:hyperlink>
      <w:r>
        <w:t xml:space="preserve">.</w:t>
      </w:r>
    </w:p>
    <w:bookmarkEnd w:id="257"/>
    <w:bookmarkStart w:id="259"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58">
        <w:r>
          <w:rPr>
            <w:rStyle w:val="Hyperlink"/>
          </w:rPr>
          <w:t xml:space="preserve">https://doi.org/10.1093/bib/bbac409</w:t>
        </w:r>
      </w:hyperlink>
      <w:r>
        <w:t xml:space="preserve">.</w:t>
      </w:r>
    </w:p>
    <w:bookmarkEnd w:id="259"/>
    <w:bookmarkStart w:id="261"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60">
        <w:r>
          <w:rPr>
            <w:rStyle w:val="Hyperlink"/>
          </w:rPr>
          <w:t xml:space="preserve">http://arxiv.org/abs/2408.11876</w:t>
        </w:r>
      </w:hyperlink>
      <w:r>
        <w:t xml:space="preserve">.</w:t>
      </w:r>
    </w:p>
    <w:bookmarkEnd w:id="261"/>
    <w:bookmarkStart w:id="263"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62">
        <w:r>
          <w:rPr>
            <w:rStyle w:val="Hyperlink"/>
          </w:rPr>
          <w:t xml:space="preserve">https://doi.org/10.48550/ARXIV.2306.14308</w:t>
        </w:r>
      </w:hyperlink>
      <w:r>
        <w:t xml:space="preserve">.</w:t>
      </w:r>
    </w:p>
    <w:bookmarkEnd w:id="263"/>
    <w:bookmarkStart w:id="265"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64">
        <w:r>
          <w:rPr>
            <w:rStyle w:val="Hyperlink"/>
          </w:rPr>
          <w:t xml:space="preserve">http://arxiv.org/abs/2301.06627</w:t>
        </w:r>
      </w:hyperlink>
      <w:r>
        <w:t xml:space="preserve">.</w:t>
      </w:r>
    </w:p>
    <w:bookmarkEnd w:id="265"/>
    <w:bookmarkStart w:id="267"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66">
        <w:r>
          <w:rPr>
            <w:rStyle w:val="Hyperlink"/>
          </w:rPr>
          <w:t xml:space="preserve">http://arxiv.org/abs/2309.02884</w:t>
        </w:r>
      </w:hyperlink>
      <w:r>
        <w:t xml:space="preserve">.</w:t>
      </w:r>
    </w:p>
    <w:bookmarkEnd w:id="267"/>
    <w:bookmarkStart w:id="269"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68">
        <w:r>
          <w:rPr>
            <w:rStyle w:val="Hyperlink"/>
          </w:rPr>
          <w:t xml:space="preserve">http://arxiv.org/abs/2312.00164</w:t>
        </w:r>
      </w:hyperlink>
      <w:r>
        <w:t xml:space="preserve">.</w:t>
      </w:r>
    </w:p>
    <w:bookmarkEnd w:id="269"/>
    <w:bookmarkStart w:id="271"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70">
        <w:r>
          <w:rPr>
            <w:rStyle w:val="Hyperlink"/>
          </w:rPr>
          <w:t xml:space="preserve">https://doi.org/10.2196/50638</w:t>
        </w:r>
      </w:hyperlink>
      <w:r>
        <w:t xml:space="preserve">.</w:t>
      </w:r>
    </w:p>
    <w:bookmarkEnd w:id="271"/>
    <w:bookmarkStart w:id="273"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72">
        <w:r>
          <w:rPr>
            <w:rStyle w:val="Hyperlink"/>
          </w:rPr>
          <w:t xml:space="preserve">https://doi.org/10.1038/s41746-023-00873-0</w:t>
        </w:r>
      </w:hyperlink>
      <w:r>
        <w:t xml:space="preserve">.</w:t>
      </w:r>
    </w:p>
    <w:bookmarkEnd w:id="273"/>
    <w:bookmarkStart w:id="275"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74">
        <w:r>
          <w:rPr>
            <w:rStyle w:val="Hyperlink"/>
          </w:rPr>
          <w:t xml:space="preserve">http://arxiv.org/abs/2401.03910</w:t>
        </w:r>
      </w:hyperlink>
      <w:r>
        <w:t xml:space="preserve">.</w:t>
      </w:r>
    </w:p>
    <w:bookmarkEnd w:id="275"/>
    <w:bookmarkStart w:id="276"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76"/>
    <w:bookmarkStart w:id="278"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77">
        <w:r>
          <w:rPr>
            <w:rStyle w:val="Hyperlink"/>
          </w:rPr>
          <w:t xml:space="preserve">https://doi.org/10.48550/ARXIV.2303.13375</w:t>
        </w:r>
      </w:hyperlink>
      <w:r>
        <w:t xml:space="preserve">.</w:t>
      </w:r>
    </w:p>
    <w:bookmarkEnd w:id="278"/>
    <w:bookmarkStart w:id="280"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79">
        <w:r>
          <w:rPr>
            <w:rStyle w:val="Hyperlink"/>
          </w:rPr>
          <w:t xml:space="preserve">https://doi.org/10.1038/s41586-023-06802-1</w:t>
        </w:r>
      </w:hyperlink>
      <w:r>
        <w:t xml:space="preserve">.</w:t>
      </w:r>
    </w:p>
    <w:bookmarkEnd w:id="280"/>
    <w:bookmarkStart w:id="282"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81">
        <w:r>
          <w:rPr>
            <w:rStyle w:val="Hyperlink"/>
          </w:rPr>
          <w:t xml:space="preserve">http://arxiv.org/abs/2310.17623</w:t>
        </w:r>
      </w:hyperlink>
      <w:r>
        <w:t xml:space="preserve">.</w:t>
      </w:r>
    </w:p>
    <w:bookmarkEnd w:id="282"/>
    <w:bookmarkStart w:id="284"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83">
        <w:r>
          <w:rPr>
            <w:rStyle w:val="Hyperlink"/>
          </w:rPr>
          <w:t xml:space="preserve">http://arxiv.org/abs/2403.17881</w:t>
        </w:r>
      </w:hyperlink>
      <w:r>
        <w:t xml:space="preserve">.</w:t>
      </w:r>
    </w:p>
    <w:bookmarkEnd w:id="284"/>
    <w:bookmarkStart w:id="286"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85">
        <w:r>
          <w:rPr>
            <w:rStyle w:val="Hyperlink"/>
          </w:rPr>
          <w:t xml:space="preserve">http://arxiv.org/abs/2309.08594</w:t>
        </w:r>
      </w:hyperlink>
      <w:r>
        <w:t xml:space="preserve">.</w:t>
      </w:r>
    </w:p>
    <w:bookmarkEnd w:id="286"/>
    <w:bookmarkStart w:id="288"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87">
        <w:r>
          <w:rPr>
            <w:rStyle w:val="Hyperlink"/>
          </w:rPr>
          <w:t xml:space="preserve">http://arxiv.org/abs/2402.13963</w:t>
        </w:r>
      </w:hyperlink>
      <w:r>
        <w:t xml:space="preserve">.</w:t>
      </w:r>
    </w:p>
    <w:bookmarkEnd w:id="288"/>
    <w:bookmarkStart w:id="290"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89">
        <w:r>
          <w:rPr>
            <w:rStyle w:val="Hyperlink"/>
          </w:rPr>
          <w:t xml:space="preserve">https://doi.org/10.1145/3531146.3533158</w:t>
        </w:r>
      </w:hyperlink>
      <w:r>
        <w:t xml:space="preserve">.</w:t>
      </w:r>
    </w:p>
    <w:bookmarkEnd w:id="290"/>
    <w:bookmarkStart w:id="292"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91">
        <w:r>
          <w:rPr>
            <w:rStyle w:val="Hyperlink"/>
          </w:rPr>
          <w:t xml:space="preserve">https://doi.org/10.2196/48659</w:t>
        </w:r>
      </w:hyperlink>
      <w:r>
        <w:t xml:space="preserve">.</w:t>
      </w:r>
    </w:p>
    <w:bookmarkEnd w:id="292"/>
    <w:bookmarkStart w:id="294"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93">
        <w:r>
          <w:rPr>
            <w:rStyle w:val="Hyperlink"/>
          </w:rPr>
          <w:t xml:space="preserve">https://doi.org/10.1038/s41586-023-06924-6</w:t>
        </w:r>
      </w:hyperlink>
      <w:r>
        <w:t xml:space="preserve">.</w:t>
      </w:r>
    </w:p>
    <w:bookmarkEnd w:id="294"/>
    <w:bookmarkStart w:id="296"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95">
        <w:r>
          <w:rPr>
            <w:rStyle w:val="Hyperlink"/>
          </w:rPr>
          <w:t xml:space="preserve">http://arxiv.org/abs/2402.16786</w:t>
        </w:r>
      </w:hyperlink>
      <w:r>
        <w:t xml:space="preserve">.</w:t>
      </w:r>
    </w:p>
    <w:bookmarkEnd w:id="296"/>
    <w:bookmarkStart w:id="298"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97">
        <w:r>
          <w:rPr>
            <w:rStyle w:val="Hyperlink"/>
          </w:rPr>
          <w:t xml:space="preserve">https://doi.org/10.3390/socsci12030148</w:t>
        </w:r>
      </w:hyperlink>
      <w:r>
        <w:t xml:space="preserve">.</w:t>
      </w:r>
    </w:p>
    <w:bookmarkEnd w:id="298"/>
    <w:bookmarkStart w:id="300"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299">
        <w:r>
          <w:rPr>
            <w:rStyle w:val="Hyperlink"/>
          </w:rPr>
          <w:t xml:space="preserve">http://arxiv.org/abs/2402.01789</w:t>
        </w:r>
      </w:hyperlink>
      <w:r>
        <w:t xml:space="preserve">.</w:t>
      </w:r>
    </w:p>
    <w:bookmarkEnd w:id="300"/>
    <w:bookmarkStart w:id="302"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301">
        <w:r>
          <w:rPr>
            <w:rStyle w:val="Hyperlink"/>
          </w:rPr>
          <w:t xml:space="preserve">http://arxiv.org/abs/2404.18416</w:t>
        </w:r>
      </w:hyperlink>
      <w:r>
        <w:t xml:space="preserve">.</w:t>
      </w:r>
    </w:p>
    <w:bookmarkEnd w:id="302"/>
    <w:bookmarkStart w:id="304"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03">
        <w:r>
          <w:rPr>
            <w:rStyle w:val="Hyperlink"/>
          </w:rPr>
          <w:t xml:space="preserve">http://arxiv.org/abs/2402.08797</w:t>
        </w:r>
      </w:hyperlink>
      <w:r>
        <w:t xml:space="preserve">.</w:t>
      </w:r>
    </w:p>
    <w:bookmarkEnd w:id="304"/>
    <w:bookmarkStart w:id="306"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05">
        <w:r>
          <w:rPr>
            <w:rStyle w:val="Hyperlink"/>
          </w:rPr>
          <w:t xml:space="preserve">http://arxiv.org/abs/2305.17493</w:t>
        </w:r>
      </w:hyperlink>
      <w:r>
        <w:t xml:space="preserve">.</w:t>
      </w:r>
    </w:p>
    <w:bookmarkEnd w:id="306"/>
    <w:bookmarkStart w:id="308"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07">
        <w:r>
          <w:rPr>
            <w:rStyle w:val="Hyperlink"/>
          </w:rPr>
          <w:t xml:space="preserve">https://doi.org/10.1038/s41586-023-06291-2</w:t>
        </w:r>
      </w:hyperlink>
      <w:r>
        <w:t xml:space="preserve">.</w:t>
      </w:r>
    </w:p>
    <w:bookmarkEnd w:id="308"/>
    <w:bookmarkStart w:id="310"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09">
        <w:r>
          <w:rPr>
            <w:rStyle w:val="Hyperlink"/>
          </w:rPr>
          <w:t xml:space="preserve">https://doi.org/10.1016/j.ajp.2023.103705</w:t>
        </w:r>
      </w:hyperlink>
      <w:r>
        <w:t xml:space="preserve">.</w:t>
      </w:r>
    </w:p>
    <w:bookmarkEnd w:id="310"/>
    <w:bookmarkStart w:id="312"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1">
        <w:r>
          <w:rPr>
            <w:rStyle w:val="Hyperlink"/>
          </w:rPr>
          <w:t xml:space="preserve">http://arxiv.org/abs/2407.09025</w:t>
        </w:r>
      </w:hyperlink>
      <w:r>
        <w:t xml:space="preserve">.</w:t>
      </w:r>
    </w:p>
    <w:bookmarkEnd w:id="312"/>
    <w:bookmarkStart w:id="314"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13">
        <w:r>
          <w:rPr>
            <w:rStyle w:val="Hyperlink"/>
          </w:rPr>
          <w:t xml:space="preserve">https://doi.org/10.48550/ARXIV.2401.05654</w:t>
        </w:r>
      </w:hyperlink>
      <w:r>
        <w:t xml:space="preserve">.</w:t>
      </w:r>
    </w:p>
    <w:bookmarkEnd w:id="314"/>
    <w:bookmarkStart w:id="316"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15">
        <w:r>
          <w:rPr>
            <w:rStyle w:val="Hyperlink"/>
          </w:rPr>
          <w:t xml:space="preserve">http://arxiv.org/abs/2404.04125</w:t>
        </w:r>
      </w:hyperlink>
      <w:r>
        <w:t xml:space="preserve">.</w:t>
      </w:r>
    </w:p>
    <w:bookmarkEnd w:id="316"/>
    <w:bookmarkStart w:id="318"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17">
        <w:r>
          <w:rPr>
            <w:rStyle w:val="Hyperlink"/>
          </w:rPr>
          <w:t xml:space="preserve">http://arxiv.org/abs/2211.04325</w:t>
        </w:r>
      </w:hyperlink>
      <w:r>
        <w:t xml:space="preserve">.</w:t>
      </w:r>
    </w:p>
    <w:bookmarkEnd w:id="318"/>
    <w:bookmarkStart w:id="320"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19">
        <w:r>
          <w:rPr>
            <w:rStyle w:val="Hyperlink"/>
          </w:rPr>
          <w:t xml:space="preserve">http://arxiv.org/abs/2309.11758</w:t>
        </w:r>
      </w:hyperlink>
      <w:r>
        <w:t xml:space="preserve">.</w:t>
      </w:r>
    </w:p>
    <w:bookmarkEnd w:id="320"/>
    <w:bookmarkStart w:id="322"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21">
        <w:r>
          <w:rPr>
            <w:rStyle w:val="Hyperlink"/>
          </w:rPr>
          <w:t xml:space="preserve">http://arxiv.org/abs/2201.11903</w:t>
        </w:r>
      </w:hyperlink>
      <w:r>
        <w:t xml:space="preserve">.</w:t>
      </w:r>
    </w:p>
    <w:bookmarkEnd w:id="322"/>
    <w:bookmarkStart w:id="324"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23">
        <w:r>
          <w:rPr>
            <w:rStyle w:val="Hyperlink"/>
          </w:rPr>
          <w:t xml:space="preserve">http://arxiv.org/abs/2403.18802</w:t>
        </w:r>
      </w:hyperlink>
      <w:r>
        <w:t xml:space="preserve">.</w:t>
      </w:r>
    </w:p>
    <w:bookmarkEnd w:id="324"/>
    <w:bookmarkStart w:id="326"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25">
        <w:r>
          <w:rPr>
            <w:rStyle w:val="Hyperlink"/>
          </w:rPr>
          <w:t xml:space="preserve">http://arxiv.org/abs/2403.09751</w:t>
        </w:r>
      </w:hyperlink>
      <w:r>
        <w:t xml:space="preserve">.</w:t>
      </w:r>
    </w:p>
    <w:bookmarkEnd w:id="326"/>
    <w:bookmarkStart w:id="328"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27">
        <w:r>
          <w:rPr>
            <w:rStyle w:val="Hyperlink"/>
          </w:rPr>
          <w:t xml:space="preserve">http://arxiv.org/abs/2402.10588</w:t>
        </w:r>
      </w:hyperlink>
      <w:r>
        <w:t xml:space="preserve">.</w:t>
      </w:r>
    </w:p>
    <w:bookmarkEnd w:id="328"/>
    <w:bookmarkStart w:id="330"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29">
        <w:r>
          <w:rPr>
            <w:rStyle w:val="Hyperlink"/>
          </w:rPr>
          <w:t xml:space="preserve">https://doi.org/10.1038/s41746-023-00879-8</w:t>
        </w:r>
      </w:hyperlink>
      <w:r>
        <w:t xml:space="preserve">.</w:t>
      </w:r>
    </w:p>
    <w:bookmarkEnd w:id="330"/>
    <w:bookmarkStart w:id="332"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31">
        <w:r>
          <w:rPr>
            <w:rStyle w:val="Hyperlink"/>
          </w:rPr>
          <w:t xml:space="preserve">https://doi.org/10.1177/17456916231201401</w:t>
        </w:r>
      </w:hyperlink>
      <w:r>
        <w:t xml:space="preserve">.</w:t>
      </w:r>
    </w:p>
    <w:bookmarkEnd w:id="332"/>
    <w:bookmarkStart w:id="334"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33">
        <w:r>
          <w:rPr>
            <w:rStyle w:val="Hyperlink"/>
          </w:rPr>
          <w:t xml:space="preserve">https://doi.org/10.1016/j.patter.2023.100802</w:t>
        </w:r>
      </w:hyperlink>
      <w:r>
        <w:t xml:space="preserve">.</w:t>
      </w:r>
    </w:p>
    <w:bookmarkEnd w:id="334"/>
    <w:bookmarkStart w:id="336"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35">
        <w:r>
          <w:rPr>
            <w:rStyle w:val="Hyperlink"/>
          </w:rPr>
          <w:t xml:space="preserve">https://doi.org/10.2196/51308</w:t>
        </w:r>
      </w:hyperlink>
      <w:r>
        <w:t xml:space="preserve">.</w:t>
      </w:r>
    </w:p>
    <w:bookmarkEnd w:id="336"/>
    <w:bookmarkStart w:id="338"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37">
        <w:r>
          <w:rPr>
            <w:rStyle w:val="Hyperlink"/>
          </w:rPr>
          <w:t xml:space="preserve">https://doi.org/10.1038/s41592-024-02499-w</w:t>
        </w:r>
      </w:hyperlink>
      <w:r>
        <w:t xml:space="preserve">.</w:t>
      </w:r>
    </w:p>
    <w:bookmarkEnd w:id="338"/>
    <w:bookmarkStart w:id="340"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39">
        <w:r>
          <w:rPr>
            <w:rStyle w:val="Hyperlink"/>
          </w:rPr>
          <w:t xml:space="preserve">http://arxiv.org/abs/2312.07353</w:t>
        </w:r>
      </w:hyperlink>
      <w:r>
        <w:t xml:space="preserve">.</w:t>
      </w:r>
    </w:p>
    <w:bookmarkEnd w:id="340"/>
    <w:bookmarkStart w:id="342"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41">
        <w:r>
          <w:rPr>
            <w:rStyle w:val="Hyperlink"/>
          </w:rPr>
          <w:t xml:space="preserve">http://arxiv.org/abs/2406.04520</w:t>
        </w:r>
      </w:hyperlink>
      <w:r>
        <w:t xml:space="preserve">.</w:t>
      </w:r>
    </w:p>
    <w:bookmarkEnd w:id="342"/>
    <w:bookmarkStart w:id="344"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43">
        <w:r>
          <w:rPr>
            <w:rStyle w:val="Hyperlink"/>
          </w:rPr>
          <w:t xml:space="preserve">http://arxiv.org/abs/2307.13854</w:t>
        </w:r>
      </w:hyperlink>
      <w:r>
        <w:t xml:space="preserve">.</w:t>
      </w:r>
    </w:p>
    <w:bookmarkEnd w:id="344"/>
    <w:bookmarkEnd w:id="345"/>
    <w:bookmarkEnd w:id="346"/>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2" Target="media/rId32.png" /><Relationship Type="http://schemas.openxmlformats.org/officeDocument/2006/relationships/image" Id="rId57" Target="media/rId57.svg" /><Relationship Type="http://schemas.openxmlformats.org/officeDocument/2006/relationships/image" Id="rId131" Target="media/rId131.svg" /><Relationship Type="http://schemas.openxmlformats.org/officeDocument/2006/relationships/image" Id="rId126" Target="media/rId126.svg" /><Relationship Type="http://schemas.openxmlformats.org/officeDocument/2006/relationships/image" Id="rId129" Target="media/rId129.png" /><Relationship Type="http://schemas.openxmlformats.org/officeDocument/2006/relationships/image" Id="rId134" Target="media/rId134.png" /><Relationship Type="http://schemas.openxmlformats.org/officeDocument/2006/relationships/image" Id="rId60" Target="media/rId60.png" /><Relationship Type="http://schemas.openxmlformats.org/officeDocument/2006/relationships/hyperlink" Id="rId321" Target="http://arxiv.org/abs/2201.11903" TargetMode="External" /><Relationship Type="http://schemas.openxmlformats.org/officeDocument/2006/relationships/hyperlink" Id="rId205" Target="http://arxiv.org/abs/2203.15556" TargetMode="External" /><Relationship Type="http://schemas.openxmlformats.org/officeDocument/2006/relationships/hyperlink" Id="rId242" Target="http://arxiv.org/abs/2210.12889" TargetMode="External" /><Relationship Type="http://schemas.openxmlformats.org/officeDocument/2006/relationships/hyperlink" Id="rId317" Target="http://arxiv.org/abs/2211.04325" TargetMode="External" /><Relationship Type="http://schemas.openxmlformats.org/officeDocument/2006/relationships/hyperlink" Id="rId264" Target="http://arxiv.org/abs/2301.06627" TargetMode="External" /><Relationship Type="http://schemas.openxmlformats.org/officeDocument/2006/relationships/hyperlink" Id="rId201" Target="http://arxiv.org/abs/2302.09210" TargetMode="External" /><Relationship Type="http://schemas.openxmlformats.org/officeDocument/2006/relationships/hyperlink" Id="rId248" Target="http://arxiv.org/abs/2304.09848" TargetMode="External" /><Relationship Type="http://schemas.openxmlformats.org/officeDocument/2006/relationships/hyperlink" Id="rId175" Target="http://arxiv.org/abs/2305.00118" TargetMode="External" /><Relationship Type="http://schemas.openxmlformats.org/officeDocument/2006/relationships/hyperlink" Id="rId305" Target="http://arxiv.org/abs/2305.17493" TargetMode="External" /><Relationship Type="http://schemas.openxmlformats.org/officeDocument/2006/relationships/hyperlink" Id="rId343" Target="http://arxiv.org/abs/2307.13854" TargetMode="External" /><Relationship Type="http://schemas.openxmlformats.org/officeDocument/2006/relationships/hyperlink" Id="rId244" Target="http://arxiv.org/abs/2308.04445" TargetMode="External" /><Relationship Type="http://schemas.openxmlformats.org/officeDocument/2006/relationships/hyperlink" Id="rId197" Target="http://arxiv.org/abs/2308.12539" TargetMode="External" /><Relationship Type="http://schemas.openxmlformats.org/officeDocument/2006/relationships/hyperlink" Id="rId266" Target="http://arxiv.org/abs/2309.02884" TargetMode="External" /><Relationship Type="http://schemas.openxmlformats.org/officeDocument/2006/relationships/hyperlink" Id="rId179" Target="http://arxiv.org/abs/2309.03613" TargetMode="External" /><Relationship Type="http://schemas.openxmlformats.org/officeDocument/2006/relationships/hyperlink" Id="rId285" Target="http://arxiv.org/abs/2309.08594" TargetMode="External" /><Relationship Type="http://schemas.openxmlformats.org/officeDocument/2006/relationships/hyperlink" Id="rId187" Target="http://arxiv.org/abs/2309.11690" TargetMode="External" /><Relationship Type="http://schemas.openxmlformats.org/officeDocument/2006/relationships/hyperlink" Id="rId319" Target="http://arxiv.org/abs/2309.11758" TargetMode="External" /><Relationship Type="http://schemas.openxmlformats.org/officeDocument/2006/relationships/hyperlink" Id="rId159" Target="http://arxiv.org/abs/2309.12288" TargetMode="External" /><Relationship Type="http://schemas.openxmlformats.org/officeDocument/2006/relationships/hyperlink" Id="rId281" Target="http://arxiv.org/abs/2310.17623" TargetMode="External" /><Relationship Type="http://schemas.openxmlformats.org/officeDocument/2006/relationships/hyperlink" Id="rId268" Target="http://arxiv.org/abs/2312.00164" TargetMode="External" /><Relationship Type="http://schemas.openxmlformats.org/officeDocument/2006/relationships/hyperlink" Id="rId339" Target="http://arxiv.org/abs/2312.07353" TargetMode="External" /><Relationship Type="http://schemas.openxmlformats.org/officeDocument/2006/relationships/hyperlink" Id="rId165" Target="http://arxiv.org/abs/2312.16171" TargetMode="External" /><Relationship Type="http://schemas.openxmlformats.org/officeDocument/2006/relationships/hyperlink" Id="rId274" Target="http://arxiv.org/abs/2401.03910" TargetMode="External" /><Relationship Type="http://schemas.openxmlformats.org/officeDocument/2006/relationships/hyperlink" Id="rId223" Target="http://arxiv.org/abs/2401.06416" TargetMode="External" /><Relationship Type="http://schemas.openxmlformats.org/officeDocument/2006/relationships/hyperlink" Id="rId231" Target="http://arxiv.org/abs/2401.06866" TargetMode="External" /><Relationship Type="http://schemas.openxmlformats.org/officeDocument/2006/relationships/hyperlink" Id="rId299" Target="http://arxiv.org/abs/2402.01789" TargetMode="External" /><Relationship Type="http://schemas.openxmlformats.org/officeDocument/2006/relationships/hyperlink" Id="rId219" Target="http://arxiv.org/abs/2402.04845" TargetMode="External" /><Relationship Type="http://schemas.openxmlformats.org/officeDocument/2006/relationships/hyperlink" Id="rId303" Target="http://arxiv.org/abs/2402.08797" TargetMode="External" /><Relationship Type="http://schemas.openxmlformats.org/officeDocument/2006/relationships/hyperlink" Id="rId327" Target="http://arxiv.org/abs/2402.10588" TargetMode="External" /><Relationship Type="http://schemas.openxmlformats.org/officeDocument/2006/relationships/hyperlink" Id="rId287" Target="http://arxiv.org/abs/2402.13963" TargetMode="External" /><Relationship Type="http://schemas.openxmlformats.org/officeDocument/2006/relationships/hyperlink" Id="rId252" Target="http://arxiv.org/abs/2402.14905" TargetMode="External" /><Relationship Type="http://schemas.openxmlformats.org/officeDocument/2006/relationships/hyperlink" Id="rId295" Target="http://arxiv.org/abs/2402.16786" TargetMode="External" /><Relationship Type="http://schemas.openxmlformats.org/officeDocument/2006/relationships/hyperlink" Id="rId153" Target="http://arxiv.org/abs/2403.04652" TargetMode="External" /><Relationship Type="http://schemas.openxmlformats.org/officeDocument/2006/relationships/hyperlink" Id="rId171" Target="http://arxiv.org/abs/2403.06634" TargetMode="External" /><Relationship Type="http://schemas.openxmlformats.org/officeDocument/2006/relationships/hyperlink" Id="rId325" Target="http://arxiv.org/abs/2403.09751" TargetMode="External" /><Relationship Type="http://schemas.openxmlformats.org/officeDocument/2006/relationships/hyperlink" Id="rId283" Target="http://arxiv.org/abs/2403.17881" TargetMode="External" /><Relationship Type="http://schemas.openxmlformats.org/officeDocument/2006/relationships/hyperlink" Id="rId323" Target="http://arxiv.org/abs/2403.18802" TargetMode="External" /><Relationship Type="http://schemas.openxmlformats.org/officeDocument/2006/relationships/hyperlink" Id="rId246" Target="http://arxiv.org/abs/2403.20041" TargetMode="External" /><Relationship Type="http://schemas.openxmlformats.org/officeDocument/2006/relationships/hyperlink" Id="rId199" Target="http://arxiv.org/abs/2404.03264" TargetMode="External" /><Relationship Type="http://schemas.openxmlformats.org/officeDocument/2006/relationships/hyperlink" Id="rId315" Target="http://arxiv.org/abs/2404.04125" TargetMode="External" /><Relationship Type="http://schemas.openxmlformats.org/officeDocument/2006/relationships/hyperlink" Id="rId151" Target="http://arxiv.org/abs/2404.14219" TargetMode="External" /><Relationship Type="http://schemas.openxmlformats.org/officeDocument/2006/relationships/hyperlink" Id="rId213" Target="http://arxiv.org/abs/2404.18021" TargetMode="External" /><Relationship Type="http://schemas.openxmlformats.org/officeDocument/2006/relationships/hyperlink" Id="rId301" Target="http://arxiv.org/abs/2404.18416" TargetMode="External" /><Relationship Type="http://schemas.openxmlformats.org/officeDocument/2006/relationships/hyperlink" Id="rId341" Target="http://arxiv.org/abs/2406.04520" TargetMode="External" /><Relationship Type="http://schemas.openxmlformats.org/officeDocument/2006/relationships/hyperlink" Id="rId311" Target="http://arxiv.org/abs/2407.09025" TargetMode="External" /><Relationship Type="http://schemas.openxmlformats.org/officeDocument/2006/relationships/hyperlink" Id="rId256" Target="http://arxiv.org/abs/2408.06292" TargetMode="External" /><Relationship Type="http://schemas.openxmlformats.org/officeDocument/2006/relationships/hyperlink" Id="rId260" Target="http://arxiv.org/abs/2408.11876" TargetMode="External" /><Relationship Type="http://schemas.openxmlformats.org/officeDocument/2006/relationships/hyperlink" Id="rId225" Target="https://doi.org/10.1001/jama.2023.8288" TargetMode="External" /><Relationship Type="http://schemas.openxmlformats.org/officeDocument/2006/relationships/hyperlink" Id="rId193" Target="https://doi.org/10.1001/jamanetworkopen.2024.40969" TargetMode="External" /><Relationship Type="http://schemas.openxmlformats.org/officeDocument/2006/relationships/hyperlink" Id="rId203" Target="https://doi.org/10.1007/s10676-024-09775-5" TargetMode="External" /><Relationship Type="http://schemas.openxmlformats.org/officeDocument/2006/relationships/hyperlink" Id="rId309" Target="https://doi.org/10.1016/j.ajp.2023.103705" TargetMode="External" /><Relationship Type="http://schemas.openxmlformats.org/officeDocument/2006/relationships/hyperlink" Id="rId227" Target="https://doi.org/10.1016/j.mcpdig.2023.08.005" TargetMode="External" /><Relationship Type="http://schemas.openxmlformats.org/officeDocument/2006/relationships/hyperlink" Id="rId237" Target="https://doi.org/10.1016/j.oret.2016.12.009" TargetMode="External" /><Relationship Type="http://schemas.openxmlformats.org/officeDocument/2006/relationships/hyperlink" Id="rId333" Target="https://doi.org/10.1016/j.patter.2023.100802" TargetMode="External" /><Relationship Type="http://schemas.openxmlformats.org/officeDocument/2006/relationships/hyperlink" Id="rId229" Target="https://doi.org/10.1038/s41571-020-0329-7" TargetMode="External" /><Relationship Type="http://schemas.openxmlformats.org/officeDocument/2006/relationships/hyperlink" Id="rId307" Target="https://doi.org/10.1038/s41586-023-06291-2" TargetMode="External" /><Relationship Type="http://schemas.openxmlformats.org/officeDocument/2006/relationships/hyperlink" Id="rId279" Target="https://doi.org/10.1038/s41586-023-06802-1" TargetMode="External" /><Relationship Type="http://schemas.openxmlformats.org/officeDocument/2006/relationships/hyperlink" Id="rId293" Target="https://doi.org/10.1038/s41586-023-06924-6" TargetMode="External" /><Relationship Type="http://schemas.openxmlformats.org/officeDocument/2006/relationships/hyperlink" Id="rId177" Target="https://doi.org/10.1038/s41591-018-0107-6" TargetMode="External" /><Relationship Type="http://schemas.openxmlformats.org/officeDocument/2006/relationships/hyperlink" Id="rId189" Target="https://doi.org/10.1038/s41591-018-0316-z" TargetMode="External" /><Relationship Type="http://schemas.openxmlformats.org/officeDocument/2006/relationships/hyperlink" Id="rId337" Target="https://doi.org/10.1038/s41592-024-02499-w" TargetMode="External" /><Relationship Type="http://schemas.openxmlformats.org/officeDocument/2006/relationships/hyperlink" Id="rId167" Target="https://doi.org/10.1038/s41598-024-61221-0" TargetMode="External" /><Relationship Type="http://schemas.openxmlformats.org/officeDocument/2006/relationships/hyperlink" Id="rId272" Target="https://doi.org/10.1038/s41746-023-00873-0" TargetMode="External" /><Relationship Type="http://schemas.openxmlformats.org/officeDocument/2006/relationships/hyperlink" Id="rId329" Target="https://doi.org/10.1038/s41746-023-00879-8" TargetMode="External" /><Relationship Type="http://schemas.openxmlformats.org/officeDocument/2006/relationships/hyperlink" Id="rId239" Target="https://doi.org/10.1056/NEJMsr2214184" TargetMode="External" /><Relationship Type="http://schemas.openxmlformats.org/officeDocument/2006/relationships/hyperlink" Id="rId215" Target="https://doi.org/10.1073/pnas.2304748120" TargetMode="External" /><Relationship Type="http://schemas.openxmlformats.org/officeDocument/2006/relationships/hyperlink" Id="rId183" Target="https://doi.org/10.1080/09515080701239510" TargetMode="External" /><Relationship Type="http://schemas.openxmlformats.org/officeDocument/2006/relationships/hyperlink" Id="rId258" Target="https://doi.org/10.1093/bib/bbac409" TargetMode="External" /><Relationship Type="http://schemas.openxmlformats.org/officeDocument/2006/relationships/hyperlink" Id="rId207" Target="https://doi.org/10.1093/jncics/pkad010" TargetMode="External" /><Relationship Type="http://schemas.openxmlformats.org/officeDocument/2006/relationships/hyperlink" Id="rId233" Target="https://doi.org/10.1101/2022.12.19.22283643" TargetMode="External" /><Relationship Type="http://schemas.openxmlformats.org/officeDocument/2006/relationships/hyperlink" Id="rId155" Target="https://doi.org/10.1101/2023.09.11.556673" TargetMode="External" /><Relationship Type="http://schemas.openxmlformats.org/officeDocument/2006/relationships/hyperlink" Id="rId195" Target="https://doi.org/10.1126/science.adi1778" TargetMode="External" /><Relationship Type="http://schemas.openxmlformats.org/officeDocument/2006/relationships/hyperlink" Id="rId157" Target="https://doi.org/10.1145/3442188.3445922" TargetMode="External" /><Relationship Type="http://schemas.openxmlformats.org/officeDocument/2006/relationships/hyperlink" Id="rId289" Target="https://doi.org/10.1145/3531146.3533158" TargetMode="External" /><Relationship Type="http://schemas.openxmlformats.org/officeDocument/2006/relationships/hyperlink" Id="rId331" Target="https://doi.org/10.1177/17456916231201401" TargetMode="External" /><Relationship Type="http://schemas.openxmlformats.org/officeDocument/2006/relationships/hyperlink" Id="rId161" Target="https://doi.org/10.1257/aer.20180338" TargetMode="External" /><Relationship Type="http://schemas.openxmlformats.org/officeDocument/2006/relationships/hyperlink" Id="rId211" Target="https://doi.org/10.2139/ssrn.2325101" TargetMode="External" /><Relationship Type="http://schemas.openxmlformats.org/officeDocument/2006/relationships/hyperlink" Id="rId291" Target="https://doi.org/10.2196/48659" TargetMode="External" /><Relationship Type="http://schemas.openxmlformats.org/officeDocument/2006/relationships/hyperlink" Id="rId209" Target="https://doi.org/10.2196/48966" TargetMode="External" /><Relationship Type="http://schemas.openxmlformats.org/officeDocument/2006/relationships/hyperlink" Id="rId270" Target="https://doi.org/10.2196/50638" TargetMode="External" /><Relationship Type="http://schemas.openxmlformats.org/officeDocument/2006/relationships/hyperlink" Id="rId335" Target="https://doi.org/10.2196/51308" TargetMode="External" /><Relationship Type="http://schemas.openxmlformats.org/officeDocument/2006/relationships/hyperlink" Id="rId297" Target="https://doi.org/10.3390/socsci12030148" TargetMode="External" /><Relationship Type="http://schemas.openxmlformats.org/officeDocument/2006/relationships/hyperlink" Id="rId181" Target="https://doi.org/10.48550/ARXIV.2104.08758" TargetMode="External" /><Relationship Type="http://schemas.openxmlformats.org/officeDocument/2006/relationships/hyperlink" Id="rId254" Target="https://doi.org/10.48550/ARXIV.2209.07663" TargetMode="External" /><Relationship Type="http://schemas.openxmlformats.org/officeDocument/2006/relationships/hyperlink" Id="rId277" Target="https://doi.org/10.48550/ARXIV.2303.13375" TargetMode="External" /><Relationship Type="http://schemas.openxmlformats.org/officeDocument/2006/relationships/hyperlink" Id="rId173" Target="https://doi.org/10.48550/ARXIV.2305.00118" TargetMode="External" /><Relationship Type="http://schemas.openxmlformats.org/officeDocument/2006/relationships/hyperlink" Id="rId191" Target="https://doi.org/10.48550/ARXIV.2305.08283" TargetMode="External" /><Relationship Type="http://schemas.openxmlformats.org/officeDocument/2006/relationships/hyperlink" Id="rId217" Target="https://doi.org/10.48550/ARXIV.2305.08596" TargetMode="External" /><Relationship Type="http://schemas.openxmlformats.org/officeDocument/2006/relationships/hyperlink" Id="rId262" Target="https://doi.org/10.48550/ARXIV.2306.14308" TargetMode="External" /><Relationship Type="http://schemas.openxmlformats.org/officeDocument/2006/relationships/hyperlink" Id="rId221" Target="https://doi.org/10.48550/ARXIV.2307.10169" TargetMode="External" /><Relationship Type="http://schemas.openxmlformats.org/officeDocument/2006/relationships/hyperlink" Id="rId250" Target="https://doi.org/10.48550/ARXIV.2308.03688" TargetMode="External" /><Relationship Type="http://schemas.openxmlformats.org/officeDocument/2006/relationships/hyperlink" Id="rId169" Target="https://doi.org/10.48550/ARXIV.2308.08708" TargetMode="External" /><Relationship Type="http://schemas.openxmlformats.org/officeDocument/2006/relationships/hyperlink" Id="rId313" Target="https://doi.org/10.48550/ARXIV.2401.05654" TargetMode="External" /><Relationship Type="http://schemas.openxmlformats.org/officeDocument/2006/relationships/hyperlink" Id="rId185" Target="https://epochai.org/data/large-scale-ai-models" TargetMode="External" /><Relationship Type="http://schemas.openxmlformats.org/officeDocument/2006/relationships/hyperlink" Id="rId163" Target="https://rodneybrooks.com/predictions-scorecard-2025-january-01/" TargetMode="External" /></Relationships>
</file>

<file path=word/_rels/footnotes.xml.rels><?xml version="1.0" encoding="UTF-8"?><Relationships xmlns="http://schemas.openxmlformats.org/package/2006/relationships"><Relationship Type="http://schemas.openxmlformats.org/officeDocument/2006/relationships/hyperlink" Id="rId321" Target="http://arxiv.org/abs/2201.11903" TargetMode="External" /><Relationship Type="http://schemas.openxmlformats.org/officeDocument/2006/relationships/hyperlink" Id="rId205" Target="http://arxiv.org/abs/2203.15556" TargetMode="External" /><Relationship Type="http://schemas.openxmlformats.org/officeDocument/2006/relationships/hyperlink" Id="rId242" Target="http://arxiv.org/abs/2210.12889" TargetMode="External" /><Relationship Type="http://schemas.openxmlformats.org/officeDocument/2006/relationships/hyperlink" Id="rId317" Target="http://arxiv.org/abs/2211.04325" TargetMode="External" /><Relationship Type="http://schemas.openxmlformats.org/officeDocument/2006/relationships/hyperlink" Id="rId264" Target="http://arxiv.org/abs/2301.06627" TargetMode="External" /><Relationship Type="http://schemas.openxmlformats.org/officeDocument/2006/relationships/hyperlink" Id="rId201" Target="http://arxiv.org/abs/2302.09210" TargetMode="External" /><Relationship Type="http://schemas.openxmlformats.org/officeDocument/2006/relationships/hyperlink" Id="rId248" Target="http://arxiv.org/abs/2304.09848" TargetMode="External" /><Relationship Type="http://schemas.openxmlformats.org/officeDocument/2006/relationships/hyperlink" Id="rId175" Target="http://arxiv.org/abs/2305.00118" TargetMode="External" /><Relationship Type="http://schemas.openxmlformats.org/officeDocument/2006/relationships/hyperlink" Id="rId305" Target="http://arxiv.org/abs/2305.17493" TargetMode="External" /><Relationship Type="http://schemas.openxmlformats.org/officeDocument/2006/relationships/hyperlink" Id="rId343" Target="http://arxiv.org/abs/2307.13854" TargetMode="External" /><Relationship Type="http://schemas.openxmlformats.org/officeDocument/2006/relationships/hyperlink" Id="rId244" Target="http://arxiv.org/abs/2308.04445" TargetMode="External" /><Relationship Type="http://schemas.openxmlformats.org/officeDocument/2006/relationships/hyperlink" Id="rId197" Target="http://arxiv.org/abs/2308.12539" TargetMode="External" /><Relationship Type="http://schemas.openxmlformats.org/officeDocument/2006/relationships/hyperlink" Id="rId266" Target="http://arxiv.org/abs/2309.02884" TargetMode="External" /><Relationship Type="http://schemas.openxmlformats.org/officeDocument/2006/relationships/hyperlink" Id="rId179" Target="http://arxiv.org/abs/2309.03613" TargetMode="External" /><Relationship Type="http://schemas.openxmlformats.org/officeDocument/2006/relationships/hyperlink" Id="rId285" Target="http://arxiv.org/abs/2309.08594" TargetMode="External" /><Relationship Type="http://schemas.openxmlformats.org/officeDocument/2006/relationships/hyperlink" Id="rId187" Target="http://arxiv.org/abs/2309.11690" TargetMode="External" /><Relationship Type="http://schemas.openxmlformats.org/officeDocument/2006/relationships/hyperlink" Id="rId319" Target="http://arxiv.org/abs/2309.11758" TargetMode="External" /><Relationship Type="http://schemas.openxmlformats.org/officeDocument/2006/relationships/hyperlink" Id="rId159" Target="http://arxiv.org/abs/2309.12288" TargetMode="External" /><Relationship Type="http://schemas.openxmlformats.org/officeDocument/2006/relationships/hyperlink" Id="rId281" Target="http://arxiv.org/abs/2310.17623" TargetMode="External" /><Relationship Type="http://schemas.openxmlformats.org/officeDocument/2006/relationships/hyperlink" Id="rId268" Target="http://arxiv.org/abs/2312.00164" TargetMode="External" /><Relationship Type="http://schemas.openxmlformats.org/officeDocument/2006/relationships/hyperlink" Id="rId339" Target="http://arxiv.org/abs/2312.07353" TargetMode="External" /><Relationship Type="http://schemas.openxmlformats.org/officeDocument/2006/relationships/hyperlink" Id="rId165" Target="http://arxiv.org/abs/2312.16171" TargetMode="External" /><Relationship Type="http://schemas.openxmlformats.org/officeDocument/2006/relationships/hyperlink" Id="rId274" Target="http://arxiv.org/abs/2401.03910" TargetMode="External" /><Relationship Type="http://schemas.openxmlformats.org/officeDocument/2006/relationships/hyperlink" Id="rId223" Target="http://arxiv.org/abs/2401.06416" TargetMode="External" /><Relationship Type="http://schemas.openxmlformats.org/officeDocument/2006/relationships/hyperlink" Id="rId231" Target="http://arxiv.org/abs/2401.06866" TargetMode="External" /><Relationship Type="http://schemas.openxmlformats.org/officeDocument/2006/relationships/hyperlink" Id="rId299" Target="http://arxiv.org/abs/2402.01789" TargetMode="External" /><Relationship Type="http://schemas.openxmlformats.org/officeDocument/2006/relationships/hyperlink" Id="rId219" Target="http://arxiv.org/abs/2402.04845" TargetMode="External" /><Relationship Type="http://schemas.openxmlformats.org/officeDocument/2006/relationships/hyperlink" Id="rId303" Target="http://arxiv.org/abs/2402.08797" TargetMode="External" /><Relationship Type="http://schemas.openxmlformats.org/officeDocument/2006/relationships/hyperlink" Id="rId327" Target="http://arxiv.org/abs/2402.10588" TargetMode="External" /><Relationship Type="http://schemas.openxmlformats.org/officeDocument/2006/relationships/hyperlink" Id="rId287" Target="http://arxiv.org/abs/2402.13963" TargetMode="External" /><Relationship Type="http://schemas.openxmlformats.org/officeDocument/2006/relationships/hyperlink" Id="rId252" Target="http://arxiv.org/abs/2402.14905" TargetMode="External" /><Relationship Type="http://schemas.openxmlformats.org/officeDocument/2006/relationships/hyperlink" Id="rId295" Target="http://arxiv.org/abs/2402.16786" TargetMode="External" /><Relationship Type="http://schemas.openxmlformats.org/officeDocument/2006/relationships/hyperlink" Id="rId153" Target="http://arxiv.org/abs/2403.04652" TargetMode="External" /><Relationship Type="http://schemas.openxmlformats.org/officeDocument/2006/relationships/hyperlink" Id="rId171" Target="http://arxiv.org/abs/2403.06634" TargetMode="External" /><Relationship Type="http://schemas.openxmlformats.org/officeDocument/2006/relationships/hyperlink" Id="rId325" Target="http://arxiv.org/abs/2403.09751" TargetMode="External" /><Relationship Type="http://schemas.openxmlformats.org/officeDocument/2006/relationships/hyperlink" Id="rId283" Target="http://arxiv.org/abs/2403.17881" TargetMode="External" /><Relationship Type="http://schemas.openxmlformats.org/officeDocument/2006/relationships/hyperlink" Id="rId323" Target="http://arxiv.org/abs/2403.18802" TargetMode="External" /><Relationship Type="http://schemas.openxmlformats.org/officeDocument/2006/relationships/hyperlink" Id="rId246" Target="http://arxiv.org/abs/2403.20041" TargetMode="External" /><Relationship Type="http://schemas.openxmlformats.org/officeDocument/2006/relationships/hyperlink" Id="rId199" Target="http://arxiv.org/abs/2404.03264" TargetMode="External" /><Relationship Type="http://schemas.openxmlformats.org/officeDocument/2006/relationships/hyperlink" Id="rId315" Target="http://arxiv.org/abs/2404.04125" TargetMode="External" /><Relationship Type="http://schemas.openxmlformats.org/officeDocument/2006/relationships/hyperlink" Id="rId151" Target="http://arxiv.org/abs/2404.14219" TargetMode="External" /><Relationship Type="http://schemas.openxmlformats.org/officeDocument/2006/relationships/hyperlink" Id="rId213" Target="http://arxiv.org/abs/2404.18021" TargetMode="External" /><Relationship Type="http://schemas.openxmlformats.org/officeDocument/2006/relationships/hyperlink" Id="rId301" Target="http://arxiv.org/abs/2404.18416" TargetMode="External" /><Relationship Type="http://schemas.openxmlformats.org/officeDocument/2006/relationships/hyperlink" Id="rId341" Target="http://arxiv.org/abs/2406.04520" TargetMode="External" /><Relationship Type="http://schemas.openxmlformats.org/officeDocument/2006/relationships/hyperlink" Id="rId311" Target="http://arxiv.org/abs/2407.09025" TargetMode="External" /><Relationship Type="http://schemas.openxmlformats.org/officeDocument/2006/relationships/hyperlink" Id="rId256" Target="http://arxiv.org/abs/2408.06292" TargetMode="External" /><Relationship Type="http://schemas.openxmlformats.org/officeDocument/2006/relationships/hyperlink" Id="rId260" Target="http://arxiv.org/abs/2408.11876" TargetMode="External" /><Relationship Type="http://schemas.openxmlformats.org/officeDocument/2006/relationships/hyperlink" Id="rId225" Target="https://doi.org/10.1001/jama.2023.8288" TargetMode="External" /><Relationship Type="http://schemas.openxmlformats.org/officeDocument/2006/relationships/hyperlink" Id="rId193" Target="https://doi.org/10.1001/jamanetworkopen.2024.40969" TargetMode="External" /><Relationship Type="http://schemas.openxmlformats.org/officeDocument/2006/relationships/hyperlink" Id="rId203" Target="https://doi.org/10.1007/s10676-024-09775-5" TargetMode="External" /><Relationship Type="http://schemas.openxmlformats.org/officeDocument/2006/relationships/hyperlink" Id="rId309" Target="https://doi.org/10.1016/j.ajp.2023.103705" TargetMode="External" /><Relationship Type="http://schemas.openxmlformats.org/officeDocument/2006/relationships/hyperlink" Id="rId227" Target="https://doi.org/10.1016/j.mcpdig.2023.08.005" TargetMode="External" /><Relationship Type="http://schemas.openxmlformats.org/officeDocument/2006/relationships/hyperlink" Id="rId237" Target="https://doi.org/10.1016/j.oret.2016.12.009" TargetMode="External" /><Relationship Type="http://schemas.openxmlformats.org/officeDocument/2006/relationships/hyperlink" Id="rId333" Target="https://doi.org/10.1016/j.patter.2023.100802" TargetMode="External" /><Relationship Type="http://schemas.openxmlformats.org/officeDocument/2006/relationships/hyperlink" Id="rId229" Target="https://doi.org/10.1038/s41571-020-0329-7" TargetMode="External" /><Relationship Type="http://schemas.openxmlformats.org/officeDocument/2006/relationships/hyperlink" Id="rId307" Target="https://doi.org/10.1038/s41586-023-06291-2" TargetMode="External" /><Relationship Type="http://schemas.openxmlformats.org/officeDocument/2006/relationships/hyperlink" Id="rId279" Target="https://doi.org/10.1038/s41586-023-06802-1" TargetMode="External" /><Relationship Type="http://schemas.openxmlformats.org/officeDocument/2006/relationships/hyperlink" Id="rId293" Target="https://doi.org/10.1038/s41586-023-06924-6" TargetMode="External" /><Relationship Type="http://schemas.openxmlformats.org/officeDocument/2006/relationships/hyperlink" Id="rId177" Target="https://doi.org/10.1038/s41591-018-0107-6" TargetMode="External" /><Relationship Type="http://schemas.openxmlformats.org/officeDocument/2006/relationships/hyperlink" Id="rId189" Target="https://doi.org/10.1038/s41591-018-0316-z" TargetMode="External" /><Relationship Type="http://schemas.openxmlformats.org/officeDocument/2006/relationships/hyperlink" Id="rId337" Target="https://doi.org/10.1038/s41592-024-02499-w" TargetMode="External" /><Relationship Type="http://schemas.openxmlformats.org/officeDocument/2006/relationships/hyperlink" Id="rId167" Target="https://doi.org/10.1038/s41598-024-61221-0" TargetMode="External" /><Relationship Type="http://schemas.openxmlformats.org/officeDocument/2006/relationships/hyperlink" Id="rId272" Target="https://doi.org/10.1038/s41746-023-00873-0" TargetMode="External" /><Relationship Type="http://schemas.openxmlformats.org/officeDocument/2006/relationships/hyperlink" Id="rId329" Target="https://doi.org/10.1038/s41746-023-00879-8" TargetMode="External" /><Relationship Type="http://schemas.openxmlformats.org/officeDocument/2006/relationships/hyperlink" Id="rId239" Target="https://doi.org/10.1056/NEJMsr2214184" TargetMode="External" /><Relationship Type="http://schemas.openxmlformats.org/officeDocument/2006/relationships/hyperlink" Id="rId215" Target="https://doi.org/10.1073/pnas.2304748120" TargetMode="External" /><Relationship Type="http://schemas.openxmlformats.org/officeDocument/2006/relationships/hyperlink" Id="rId183" Target="https://doi.org/10.1080/09515080701239510" TargetMode="External" /><Relationship Type="http://schemas.openxmlformats.org/officeDocument/2006/relationships/hyperlink" Id="rId258" Target="https://doi.org/10.1093/bib/bbac409" TargetMode="External" /><Relationship Type="http://schemas.openxmlformats.org/officeDocument/2006/relationships/hyperlink" Id="rId207" Target="https://doi.org/10.1093/jncics/pkad010" TargetMode="External" /><Relationship Type="http://schemas.openxmlformats.org/officeDocument/2006/relationships/hyperlink" Id="rId233" Target="https://doi.org/10.1101/2022.12.19.22283643" TargetMode="External" /><Relationship Type="http://schemas.openxmlformats.org/officeDocument/2006/relationships/hyperlink" Id="rId155" Target="https://doi.org/10.1101/2023.09.11.556673" TargetMode="External" /><Relationship Type="http://schemas.openxmlformats.org/officeDocument/2006/relationships/hyperlink" Id="rId195" Target="https://doi.org/10.1126/science.adi1778" TargetMode="External" /><Relationship Type="http://schemas.openxmlformats.org/officeDocument/2006/relationships/hyperlink" Id="rId157" Target="https://doi.org/10.1145/3442188.3445922" TargetMode="External" /><Relationship Type="http://schemas.openxmlformats.org/officeDocument/2006/relationships/hyperlink" Id="rId289" Target="https://doi.org/10.1145/3531146.3533158" TargetMode="External" /><Relationship Type="http://schemas.openxmlformats.org/officeDocument/2006/relationships/hyperlink" Id="rId331" Target="https://doi.org/10.1177/17456916231201401" TargetMode="External" /><Relationship Type="http://schemas.openxmlformats.org/officeDocument/2006/relationships/hyperlink" Id="rId161" Target="https://doi.org/10.1257/aer.20180338" TargetMode="External" /><Relationship Type="http://schemas.openxmlformats.org/officeDocument/2006/relationships/hyperlink" Id="rId211" Target="https://doi.org/10.2139/ssrn.2325101" TargetMode="External" /><Relationship Type="http://schemas.openxmlformats.org/officeDocument/2006/relationships/hyperlink" Id="rId291" Target="https://doi.org/10.2196/48659" TargetMode="External" /><Relationship Type="http://schemas.openxmlformats.org/officeDocument/2006/relationships/hyperlink" Id="rId209" Target="https://doi.org/10.2196/48966" TargetMode="External" /><Relationship Type="http://schemas.openxmlformats.org/officeDocument/2006/relationships/hyperlink" Id="rId270" Target="https://doi.org/10.2196/50638" TargetMode="External" /><Relationship Type="http://schemas.openxmlformats.org/officeDocument/2006/relationships/hyperlink" Id="rId335" Target="https://doi.org/10.2196/51308" TargetMode="External" /><Relationship Type="http://schemas.openxmlformats.org/officeDocument/2006/relationships/hyperlink" Id="rId297" Target="https://doi.org/10.3390/socsci12030148" TargetMode="External" /><Relationship Type="http://schemas.openxmlformats.org/officeDocument/2006/relationships/hyperlink" Id="rId181" Target="https://doi.org/10.48550/ARXIV.2104.08758" TargetMode="External" /><Relationship Type="http://schemas.openxmlformats.org/officeDocument/2006/relationships/hyperlink" Id="rId254" Target="https://doi.org/10.48550/ARXIV.2209.07663" TargetMode="External" /><Relationship Type="http://schemas.openxmlformats.org/officeDocument/2006/relationships/hyperlink" Id="rId277" Target="https://doi.org/10.48550/ARXIV.2303.13375" TargetMode="External" /><Relationship Type="http://schemas.openxmlformats.org/officeDocument/2006/relationships/hyperlink" Id="rId173" Target="https://doi.org/10.48550/ARXIV.2305.00118" TargetMode="External" /><Relationship Type="http://schemas.openxmlformats.org/officeDocument/2006/relationships/hyperlink" Id="rId191" Target="https://doi.org/10.48550/ARXIV.2305.08283" TargetMode="External" /><Relationship Type="http://schemas.openxmlformats.org/officeDocument/2006/relationships/hyperlink" Id="rId217" Target="https://doi.org/10.48550/ARXIV.2305.08596" TargetMode="External" /><Relationship Type="http://schemas.openxmlformats.org/officeDocument/2006/relationships/hyperlink" Id="rId262" Target="https://doi.org/10.48550/ARXIV.2306.14308" TargetMode="External" /><Relationship Type="http://schemas.openxmlformats.org/officeDocument/2006/relationships/hyperlink" Id="rId221" Target="https://doi.org/10.48550/ARXIV.2307.10169" TargetMode="External" /><Relationship Type="http://schemas.openxmlformats.org/officeDocument/2006/relationships/hyperlink" Id="rId250" Target="https://doi.org/10.48550/ARXIV.2308.03688" TargetMode="External" /><Relationship Type="http://schemas.openxmlformats.org/officeDocument/2006/relationships/hyperlink" Id="rId169" Target="https://doi.org/10.48550/ARXIV.2308.08708" TargetMode="External" /><Relationship Type="http://schemas.openxmlformats.org/officeDocument/2006/relationships/hyperlink" Id="rId313" Target="https://doi.org/10.48550/ARXIV.2401.05654" TargetMode="External" /><Relationship Type="http://schemas.openxmlformats.org/officeDocument/2006/relationships/hyperlink" Id="rId185" Target="https://epochai.org/data/large-scale-ai-models" TargetMode="External" /><Relationship Type="http://schemas.openxmlformats.org/officeDocument/2006/relationships/hyperlink" Id="rId163" Target="https://rodneybrooks.com/predictions-scorecard-2025-january-01/"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Exception</dc:title>
  <dc:creator>Sami Karam and Richard Sprague</dc:creator>
  <cp:keywords/>
  <dcterms:created xsi:type="dcterms:W3CDTF">2025-04-12T17:42:53Z</dcterms:created>
  <dcterms:modified xsi:type="dcterms:W3CDTF">2025-04-12T17:42:53Z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2025-04-12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