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360" w:after="160"/>
        <w:jc w:val="center"/>
      </w:pPr>
      <w:r>
        <w:rPr>
          <w:rFonts w:ascii="Noto Sans CJK SC" w:hAnsi="Noto Sans CJK SC" w:eastAsia="Noto Sans CJK SC"/>
          <w:b/>
          <w:color w:val="183B5B"/>
          <w:sz w:val="46"/>
        </w:rPr>
        <w:t>HK IPO Risk Agents</w:t>
        <w:br/>
        <w:t>项目主计划与 v0.3 路线</w:t>
      </w:r>
    </w:p>
    <w:p>
      <w:pPr>
        <w:widowControl/>
        <w:spacing w:after="360"/>
        <w:jc w:val="center"/>
      </w:pPr>
      <w:r>
        <w:rPr>
          <w:rFonts w:ascii="Noto Sans CJK SC" w:hAnsi="Noto Sans CJK SC" w:eastAsia="Noto Sans CJK SC"/>
          <w:b w:val="0"/>
          <w:color w:val="666666"/>
          <w:sz w:val="22"/>
        </w:rPr>
        <w:t>基于 main 审核基线 fbeb279 的 v0.3—v1.0 开发路线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2F0D9"/>
            <w:tcBorders>
              <w:top w:val="single" w:sz="8" w:color="2E7D32"/>
              <w:left w:val="single" w:sz="8" w:color="2E7D32"/>
              <w:bottom w:val="single" w:sz="8" w:color="2E7D32"/>
              <w:right w:val="single" w:sz="8" w:color="2E7D3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widowControl/>
              <w:spacing w:after="60"/>
            </w:pPr>
            <w:r>
              <w:rPr>
                <w:rFonts w:ascii="Noto Sans CJK SC" w:hAnsi="Noto Sans CJK SC" w:eastAsia="Noto Sans CJK SC"/>
                <w:b/>
                <w:color w:val="2E7D32"/>
                <w:sz w:val="21"/>
              </w:rPr>
              <w:t>当前正式基线</w:t>
            </w:r>
          </w:p>
          <w:p>
            <w:pPr>
              <w:widowControl/>
              <w:spacing w:before="0" w:after="0" w:line="276" w:lineRule="auto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审核基线为 main 提交 fbeb279（2026-08-06）：真实 PDF 现金跑道纵向闭环与 B 线赛事数据治理均已合入主线。Codex 已在该基线复跑 284 项测试、项目校验、赛事数据校验、编译检查和 2410.HK 真实 E2E，结果全部通过。v0.2 代码开发完成；尚待团队独立复跑、第二标注人复核、Tag 与 Release。</w:t>
            </w:r>
          </w:p>
        </w:tc>
      </w:tr>
    </w:tbl>
    <w:p>
      <w:pPr>
        <w:widowControl/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283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236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当前状态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v0.1.0</w:t>
            </w:r>
          </w:p>
        </w:tc>
        <w:tc>
          <w:tcPr>
            <w:tcW w:type="dxa" w:w="623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架构级MVP已发布</w:t>
            </w:r>
          </w:p>
        </w:tc>
      </w:tr>
      <w:tr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v0.2.0代码</w:t>
            </w:r>
          </w:p>
        </w:tc>
        <w:tc>
          <w:tcPr>
            <w:tcW w:type="dxa" w:w="6236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已全部进入main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v0.2.0 Release</w:t>
            </w:r>
          </w:p>
        </w:tc>
        <w:tc>
          <w:tcPr>
            <w:tcW w:type="dxa" w:w="623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待完成Tag、Release与独立复跑</w:t>
            </w:r>
          </w:p>
        </w:tc>
      </w:tr>
      <w:tr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下一开发版本</w:t>
            </w:r>
          </w:p>
        </w:tc>
        <w:tc>
          <w:tcPr>
            <w:tcW w:type="dxa" w:w="6236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v0.3.0真实多Agent文档风险分析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远期版本</w:t>
            </w:r>
          </w:p>
        </w:tc>
        <w:tc>
          <w:tcPr>
            <w:tcW w:type="dxa" w:w="623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v0.4市场预测、v0.5正式评测、RC与v1.0提交</w:t>
            </w:r>
          </w:p>
        </w:tc>
      </w:tr>
    </w:tbl>
    <w:p>
      <w:pPr>
        <w:widowControl/>
        <w:spacing w:after="0"/>
      </w:pP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666666"/>
          <w:sz w:val="19"/>
        </w:rPr>
        <w:t>适用对象：5人参赛团队 / 技术负责人 / 数据治理 / 财务 / 法务 / 业务与产品</w:t>
      </w:r>
    </w:p>
    <w:p>
      <w:pPr>
        <w:widowControl/>
      </w:pPr>
      <w:r>
        <w:br w:type="page"/>
      </w: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1. 项目总体目标与当前基线</w:t>
      </w: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项目目标是构建一个证据驱动的港股IPO招股书解析与上市后风险预警系统。系统以招股书PDF为核心输入，将文档解析、证据检索、专业Agent分析、确定性计算、Verifier核验、Supervisor协同和市场预测逐层组合。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DF5FB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widowControl/>
              <w:spacing w:after="60"/>
            </w:pPr>
            <w:r>
              <w:rPr>
                <w:rFonts w:ascii="Noto Sans CJK SC" w:hAnsi="Noto Sans CJK SC" w:eastAsia="Noto Sans CJK SC"/>
                <w:b/>
                <w:color w:val="2F75B5"/>
                <w:sz w:val="21"/>
              </w:rPr>
              <w:t>最终完整链路</w:t>
            </w:r>
          </w:p>
          <w:p>
            <w:pPr>
              <w:widowControl/>
              <w:spacing w:before="0" w:after="0" w:line="276" w:lineRule="auto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招股书PDF → Parser → Retriever → Financial / Legal / Business Agent → Skills → Verifier → Supervisor → IPO与市场数据 → Market Agent / Predictor → Evidence化报告与风险预警。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1.1 v0.2已经完成的能力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真实PyMuPDF解析：保留物理页码、原文和稳定Chunk。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确定性关键词Evidence检索：现金及现金等价物、经营活动现金流。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财务数值提取：币种、单位、报告期、期间长度和括号负数。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现金跑道Skill：以Decimal完成月度消耗和可持续月数计算。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现金跑道RiskItem、专用Verifier和verified-only规则评分。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Workflow、IPOAnalysisService、JSON Repository和Streamlit真实模式。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565份招股书manifest、555/10行情覆盖和562/3官方IPO主数据桥接。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✓ 24份影子样本、12份人工核对、A2.6复测与全量manifest自动对账。</w:t>
      </w:r>
    </w:p>
    <w:p>
      <w:pPr>
        <w:pStyle w:val="Heading2"/>
        <w:keepNext/>
        <w:widowControl/>
        <w:spacing w:before="160" w:after="100" w:line="276" w:lineRule="auto"/>
      </w:pPr>
      <w:r>
        <w:t>1.2 当前尚未真实实现的能力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Legal Agent仍为unavailable，不输出虚构法律风险。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Business Agent仍为unavailable，不输出虚构业务风险。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Market Agent和正式MarketDataProvider尚未接入。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LLMProvider尚未作为生产组件接入。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当前规则风险分不是经过校准的上市后下跌概率。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1/5/20/60交易日标签、Logistic和LightGBM模型尚未建立。</w:t>
      </w:r>
    </w:p>
    <w:p>
      <w:pPr>
        <w:pStyle w:val="Heading2"/>
        <w:keepNext/>
        <w:widowControl/>
        <w:spacing w:before="160" w:after="100" w:line="276" w:lineRule="auto"/>
      </w:pPr>
      <w:r>
        <w:t>1.3 数据基线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55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数据范围</w:t>
            </w:r>
          </w:p>
        </w:tc>
        <w:tc>
          <w:tcPr>
            <w:tcW w:type="dxa" w:w="170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数量</w:t>
            </w:r>
          </w:p>
        </w:tc>
        <w:tc>
          <w:tcPr>
            <w:tcW w:type="dxa" w:w="4819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2020—2023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376份</w:t>
            </w:r>
          </w:p>
        </w:tc>
        <w:tc>
          <w:tcPr>
            <w:tcW w:type="dxa" w:w="481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开发集</w:t>
            </w:r>
          </w:p>
        </w:tc>
      </w:tr>
      <w:tr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2024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72份</w:t>
            </w:r>
          </w:p>
        </w:tc>
        <w:tc>
          <w:tcPr>
            <w:tcW w:type="dxa" w:w="481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验证集</w:t>
            </w:r>
          </w:p>
        </w:tc>
      </w:tr>
      <w:tr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2410.HK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1份</w:t>
            </w:r>
          </w:p>
        </w:tc>
        <w:tc>
          <w:tcPr>
            <w:tcW w:type="dxa" w:w="481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v0.2开发例外</w:t>
            </w:r>
          </w:p>
        </w:tc>
      </w:tr>
      <w:tr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2025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116份</w:t>
            </w:r>
          </w:p>
        </w:tc>
        <w:tc>
          <w:tcPr>
            <w:tcW w:type="dxa" w:w="481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盲测集，禁止调规则或调参</w:t>
            </w:r>
          </w:p>
        </w:tc>
      </w:tr>
      <w:tr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全部招股书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565份</w:t>
            </w:r>
          </w:p>
        </w:tc>
        <w:tc>
          <w:tcPr>
            <w:tcW w:type="dxa" w:w="481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文档分析主宇宙</w:t>
            </w:r>
          </w:p>
        </w:tc>
      </w:tr>
      <w:tr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有日行情覆盖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555份</w:t>
            </w:r>
          </w:p>
        </w:tc>
        <w:tc>
          <w:tcPr>
            <w:tcW w:type="dxa" w:w="481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未来市场标签候选</w:t>
            </w:r>
          </w:p>
        </w:tc>
      </w:tr>
      <w:tr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无日行情覆盖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10份</w:t>
            </w:r>
          </w:p>
        </w:tc>
        <w:tc>
          <w:tcPr>
            <w:tcW w:type="dxa" w:w="481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仅文档链路与降级测试</w:t>
            </w:r>
          </w:p>
        </w:tc>
      </w:tr>
    </w:tbl>
    <w:p>
      <w:pPr>
        <w:widowControl/>
        <w:spacing w:after="0"/>
      </w:pPr>
    </w:p>
    <w:p>
      <w:pPr>
        <w:widowControl/>
      </w:pPr>
      <w:r/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2. 更新后的版本总路线图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19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238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核心问题</w:t>
            </w:r>
          </w:p>
        </w:tc>
        <w:tc>
          <w:tcPr>
            <w:tcW w:type="dxa" w:w="408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主要交付物</w:t>
            </w:r>
          </w:p>
        </w:tc>
        <w:tc>
          <w:tcPr>
            <w:tcW w:type="dxa" w:w="170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当前状态</w:t>
            </w:r>
          </w:p>
        </w:tc>
      </w:tr>
      <w:tr>
        <w:tc>
          <w:tcPr>
            <w:tcW w:type="dxa" w:w="119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v0.1.0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系统架构能否完整运行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统一Schema、Mock组件、LangGraph、Service、UI、测试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已发布</w:t>
            </w:r>
          </w:p>
        </w:tc>
      </w:tr>
      <w:tr>
        <w:tc>
          <w:tcPr>
            <w:tcW w:type="dxa" w:w="119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v0.2.0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能否从真实PDF得到一条可信风险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真实现金跑道闭环、赛事数据治理、影子测试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已合入main，待Release</w:t>
            </w:r>
          </w:p>
        </w:tc>
      </w:tr>
      <w:tr>
        <w:tc>
          <w:tcPr>
            <w:tcW w:type="dxa" w:w="119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v0.3.0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能否进行真实多Agent文档风险分析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3个真实Agent、8类风险、黄金案例、批量评测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下一开发版本</w:t>
            </w:r>
          </w:p>
        </w:tc>
      </w:tr>
      <w:tr>
        <w:tc>
          <w:tcPr>
            <w:tcW w:type="dxa" w:w="119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v0.4.0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文档风险能否连接上市后真实表现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行情、标签、Market Agent、Logistic、LightGBM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待规划</w:t>
            </w:r>
          </w:p>
        </w:tc>
      </w:tr>
      <w:tr>
        <w:tc>
          <w:tcPr>
            <w:tcW w:type="dxa" w:w="119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v0.5.0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系统效果是否经过正式证明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20—30家公司、200—300条标注、消融与失败分析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待规划</w:t>
            </w:r>
          </w:p>
        </w:tc>
      </w:tr>
      <w:tr>
        <w:tc>
          <w:tcPr>
            <w:tcW w:type="dxa" w:w="119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提交准备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如何形成参赛产品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页面、报告、PPT、视频、手册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待规划</w:t>
            </w:r>
          </w:p>
        </w:tc>
      </w:tr>
      <w:tr>
        <w:tc>
          <w:tcPr>
            <w:tcW w:type="dxa" w:w="119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RC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别人能否稳定复现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冻结、独立环境、异常测试、离线演示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待规划</w:t>
            </w:r>
          </w:p>
        </w:tc>
      </w:tr>
      <w:tr>
        <w:tc>
          <w:tcPr>
            <w:tcW w:type="dxa" w:w="119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v1.0.0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正式参赛提交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完整源码、模型、结果和材料包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待规划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CE4D6"/>
            <w:tcBorders>
              <w:top w:val="single" w:sz="8" w:color="C65911"/>
              <w:left w:val="single" w:sz="8" w:color="C65911"/>
              <w:bottom w:val="single" w:sz="8" w:color="C65911"/>
              <w:right w:val="single" w:sz="8" w:color="C65911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widowControl/>
              <w:spacing w:after="60"/>
            </w:pPr>
            <w:r>
              <w:rPr>
                <w:rFonts w:ascii="Noto Sans CJK SC" w:hAnsi="Noto Sans CJK SC" w:eastAsia="Noto Sans CJK SC"/>
                <w:b/>
                <w:color w:val="C65911"/>
                <w:sz w:val="21"/>
              </w:rPr>
              <w:t>路线原则</w:t>
            </w:r>
          </w:p>
          <w:p>
            <w:pPr>
              <w:widowControl/>
              <w:spacing w:before="0" w:after="0" w:line="276" w:lineRule="auto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v0.2解决“读得出来并算得正确”；v0.3解决“分专业分析得全面”；v0.4解决“连接市场并预测”；v0.5解决“证明系统有效”；随后完成产品化、RC冻结和正式提交。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3. 阶段R0：v0.2正式发布收尾</w:t>
      </w: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v0.2的开发代码已进入main，本阶段不得新增大功能，只完成发布、复盘和v0.3输入冻结。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850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87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任务</w:t>
            </w:r>
          </w:p>
        </w:tc>
        <w:tc>
          <w:tcPr>
            <w:tcW w:type="dxa" w:w="255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主要交付物</w:t>
            </w:r>
          </w:p>
        </w:tc>
        <w:tc>
          <w:tcPr>
            <w:tcW w:type="dxa" w:w="1587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负责人</w:t>
            </w:r>
          </w:p>
        </w:tc>
        <w:tc>
          <w:tcPr>
            <w:tcW w:type="dxa" w:w="283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完成标准</w:t>
            </w:r>
          </w:p>
        </w:tc>
      </w:tr>
      <w:tr>
        <w:tc>
          <w:tcPr>
            <w:tcW w:type="dxa" w:w="85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R0-1（自动验收完成）</w:t>
            </w:r>
          </w:p>
        </w:tc>
        <w:tc>
          <w:tcPr>
            <w:tcW w:type="dxa" w:w="187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最新main完整复跑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测试日志与环境记录</w:t>
            </w:r>
          </w:p>
        </w:tc>
        <w:tc>
          <w:tcPr>
            <w:tcW w:type="dxa" w:w="158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技术负责人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全部测试、校验、编译和真实E2E通过</w:t>
            </w:r>
          </w:p>
        </w:tc>
      </w:tr>
      <w:tr>
        <w:tc>
          <w:tcPr>
            <w:tcW w:type="dxa" w:w="85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R0-2</w:t>
            </w:r>
          </w:p>
        </w:tc>
        <w:tc>
          <w:tcPr>
            <w:tcW w:type="dxa" w:w="187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技术备份独立复跑</w:t>
            </w:r>
          </w:p>
        </w:tc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独立环境验收记录</w:t>
            </w:r>
          </w:p>
        </w:tc>
        <w:tc>
          <w:tcPr>
            <w:tcW w:type="dxa" w:w="158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技术备份</w:t>
            </w:r>
          </w:p>
        </w:tc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新环境安装、Mock、真实PDF和数据验证成功</w:t>
            </w:r>
          </w:p>
        </w:tc>
      </w:tr>
      <w:tr>
        <w:tc>
          <w:tcPr>
            <w:tcW w:type="dxa" w:w="85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R0-3</w:t>
            </w:r>
          </w:p>
        </w:tc>
        <w:tc>
          <w:tcPr>
            <w:tcW w:type="dxa" w:w="187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第二标注人复核2410.HK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金标准复核表</w:t>
            </w:r>
          </w:p>
        </w:tc>
        <w:tc>
          <w:tcPr>
            <w:tcW w:type="dxa" w:w="158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法务/第二复核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第562/563页、金额、单位、期间及2.76个月确认</w:t>
            </w:r>
          </w:p>
        </w:tc>
      </w:tr>
      <w:tr>
        <w:tc>
          <w:tcPr>
            <w:tcW w:type="dxa" w:w="85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R0-4（数据治理完成）</w:t>
            </w:r>
          </w:p>
        </w:tc>
        <w:tc>
          <w:tcPr>
            <w:tcW w:type="dxa" w:w="187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特殊证券治理记录</w:t>
            </w:r>
          </w:p>
        </w:tc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02191/04801/04841说明</w:t>
            </w:r>
          </w:p>
        </w:tc>
        <w:tc>
          <w:tcPr>
            <w:tcW w:type="dxa" w:w="158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数据成员</w:t>
            </w:r>
          </w:p>
        </w:tc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明确REIT、SPAC股份/权证映射及资格</w:t>
            </w:r>
          </w:p>
        </w:tc>
      </w:tr>
      <w:tr>
        <w:tc>
          <w:tcPr>
            <w:tcW w:type="dxa" w:w="85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R0-5（本次同步完成）</w:t>
            </w:r>
          </w:p>
        </w:tc>
        <w:tc>
          <w:tcPr>
            <w:tcW w:type="dxa" w:w="187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发布文档同步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README、CHANGELOG、ROADMAP、总清单</w:t>
            </w:r>
          </w:p>
        </w:tc>
        <w:tc>
          <w:tcPr>
            <w:tcW w:type="dxa" w:w="158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技术负责人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所有文档口径一致</w:t>
            </w:r>
          </w:p>
        </w:tc>
      </w:tr>
      <w:tr>
        <w:tc>
          <w:tcPr>
            <w:tcW w:type="dxa" w:w="85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R0-6</w:t>
            </w:r>
          </w:p>
        </w:tc>
        <w:tc>
          <w:tcPr>
            <w:tcW w:type="dxa" w:w="187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创建Tag与Release</w:t>
            </w:r>
          </w:p>
        </w:tc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v0.2.0 Release</w:t>
            </w:r>
          </w:p>
        </w:tc>
        <w:tc>
          <w:tcPr>
            <w:tcW w:type="dxa" w:w="158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技术负责人</w:t>
            </w:r>
          </w:p>
        </w:tc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冻结SHA、已知限制和回退点</w:t>
            </w:r>
          </w:p>
        </w:tc>
      </w:tr>
      <w:tr>
        <w:tc>
          <w:tcPr>
            <w:tcW w:type="dxa" w:w="85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R0-7</w:t>
            </w:r>
          </w:p>
        </w:tc>
        <w:tc>
          <w:tcPr>
            <w:tcW w:type="dxa" w:w="187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版本复盘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v0.2复盘文档</w:t>
            </w:r>
          </w:p>
        </w:tc>
        <w:tc>
          <w:tcPr>
            <w:tcW w:type="dxa" w:w="158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全组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明确成功项、问题和v0.3输入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3.1 建议Release名称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v0.2.0-real-document-slice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3.2 v0.2发布门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☑ 审核基线完整测试通过：284 passed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☑ 2410.HK真实E2E保持：706 chunks、Evidence第563/562页、现金跑道2.76个月、verified、90/critical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第二标注人完成金标准复核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技术备份完成独立环境复跑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☑ README、ROADMAP、CHANGELOG和总清单已于本次同步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☑ 已记录证券主表截断、10份无行情、3份特殊证券和金额单位等限制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Tag、Release Notes和回退SHA完成</w:t>
      </w:r>
    </w:p>
    <w:p>
      <w:pPr>
        <w:widowControl/>
      </w:pPr>
      <w:r/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4. v0.3.0总体设计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2F0D9"/>
            <w:tcBorders>
              <w:top w:val="single" w:sz="8" w:color="2E7D32"/>
              <w:left w:val="single" w:sz="8" w:color="2E7D32"/>
              <w:bottom w:val="single" w:sz="8" w:color="2E7D32"/>
              <w:right w:val="single" w:sz="8" w:color="2E7D3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widowControl/>
              <w:spacing w:after="60"/>
            </w:pPr>
            <w:r>
              <w:rPr>
                <w:rFonts w:ascii="Noto Sans CJK SC" w:hAnsi="Noto Sans CJK SC" w:eastAsia="Noto Sans CJK SC"/>
                <w:b/>
                <w:color w:val="2E7D32"/>
                <w:sz w:val="21"/>
              </w:rPr>
              <w:t>版本名称</w:t>
            </w:r>
          </w:p>
          <w:p>
            <w:pPr>
              <w:widowControl/>
              <w:spacing w:before="0" w:after="0" w:line="276" w:lineRule="auto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v0.3.0-multi-agent-risk-analysis</w:t>
            </w:r>
          </w:p>
        </w:tc>
      </w:tr>
    </w:tbl>
    <w:p>
      <w:pPr>
        <w:widowControl/>
        <w:spacing w:after="0"/>
      </w:pP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v0.3的唯一目标是：将当前单一现金跑道真实闭环，升级为Financial、Legal、Business三个真实Agent协同运行，并在5—10份真实招股书上完成可重复的多案例评测。</w:t>
      </w:r>
    </w:p>
    <w:p>
      <w:pPr>
        <w:pStyle w:val="Heading2"/>
        <w:keepNext/>
        <w:widowControl/>
        <w:spacing w:before="160" w:after="100" w:line="276" w:lineRule="auto"/>
      </w:pPr>
      <w:r>
        <w:t>4.1 最终运行流程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PDF上传</w:t>
              <w:br/>
              <w:t xml:space="preserve">  ↓</w:t>
              <w:br/>
              <w:t>Parser：一次解析，生成带物理页码的DocumentChunk</w:t>
              <w:br/>
              <w:t xml:space="preserve">  ↓</w:t>
              <w:br/>
              <w:t>Retriever：按财务、法务、业务查询族寻找Evidence</w:t>
              <w:br/>
              <w:t xml:space="preserve">  ↓</w:t>
              <w:br/>
              <w:t>Financial / Legal / Business Agent：提取结构化事实</w:t>
              <w:br/>
              <w:t xml:space="preserve">  ↓</w:t>
              <w:br/>
              <w:t>Skills：完成精确计算</w:t>
              <w:br/>
              <w:t xml:space="preserve">  ↓</w:t>
              <w:br/>
              <w:t>RiskItem(pending)</w:t>
              <w:br/>
              <w:t xml:space="preserve">  ↓</w:t>
              <w:br/>
              <w:t>专用Verifier：verified / needs_review / rejected</w:t>
              <w:br/>
              <w:t xml:space="preserve">  ↓</w:t>
              <w:br/>
              <w:t>Supervisor：去重、冲突识别、组合风险和降级</w:t>
              <w:br/>
              <w:t xml:space="preserve">  ↓</w:t>
              <w:br/>
              <w:t>规则风险评分、报告、Repository和Streamlit展示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4.2 v0.3明确不做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不训练Logistic、LightGBM或深度学习市场预测模型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不输出经过校准的真实下跌概率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不正式构造上市后1/5/20/60日标签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不实现完整Market Agent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不使用2025盲测集调规则、选特征或调参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不把565份PDF全部人工标注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不引入微服务、Kafka、Redis、Neo4j或Kubernetes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不让LLM完成精确财务计算或直接决定最终分数</w:t>
      </w: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5. v0.3正式风险目录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624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04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风险代码</w:t>
            </w:r>
          </w:p>
        </w:tc>
        <w:tc>
          <w:tcPr>
            <w:tcW w:type="dxa" w:w="226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风险名称</w:t>
            </w:r>
          </w:p>
        </w:tc>
        <w:tc>
          <w:tcPr>
            <w:tcW w:type="dxa" w:w="170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Agent</w:t>
            </w:r>
          </w:p>
        </w:tc>
        <w:tc>
          <w:tcPr>
            <w:tcW w:type="dxa" w:w="294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核心方法</w:t>
            </w:r>
          </w:p>
        </w:tc>
      </w:tr>
      <w:tr>
        <w:tc>
          <w:tcPr>
            <w:tcW w:type="dxa" w:w="62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1</w:t>
            </w:r>
          </w:p>
        </w:tc>
        <w:tc>
          <w:tcPr>
            <w:tcW w:type="dxa" w:w="204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cash_runway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现金跑道不足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Financial</w:t>
            </w:r>
          </w:p>
        </w:tc>
        <w:tc>
          <w:tcPr>
            <w:tcW w:type="dxa" w:w="294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v0.2已有，保持回归</w:t>
            </w:r>
          </w:p>
        </w:tc>
      </w:tr>
      <w:tr>
        <w:tc>
          <w:tcPr>
            <w:tcW w:type="dxa" w:w="62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2</w:t>
            </w:r>
          </w:p>
        </w:tc>
        <w:tc>
          <w:tcPr>
            <w:tcW w:type="dxa" w:w="204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continuous_loss</w:t>
            </w:r>
          </w:p>
        </w:tc>
        <w:tc>
          <w:tcPr>
            <w:tcW w:type="dxa" w:w="226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持续亏损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Financial</w:t>
            </w:r>
          </w:p>
        </w:tc>
        <w:tc>
          <w:tcPr>
            <w:tcW w:type="dxa" w:w="294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表格提取 + 亏损趋势Skill</w:t>
            </w:r>
          </w:p>
        </w:tc>
      </w:tr>
      <w:tr>
        <w:tc>
          <w:tcPr>
            <w:tcW w:type="dxa" w:w="62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3</w:t>
            </w:r>
          </w:p>
        </w:tc>
        <w:tc>
          <w:tcPr>
            <w:tcW w:type="dxa" w:w="204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revenue_growth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收入增长异常或放缓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Financial</w:t>
            </w:r>
          </w:p>
        </w:tc>
        <w:tc>
          <w:tcPr>
            <w:tcW w:type="dxa" w:w="294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期间对齐 + 增长率Skill</w:t>
            </w:r>
          </w:p>
        </w:tc>
      </w:tr>
      <w:tr>
        <w:tc>
          <w:tcPr>
            <w:tcW w:type="dxa" w:w="62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4</w:t>
            </w:r>
          </w:p>
        </w:tc>
        <w:tc>
          <w:tcPr>
            <w:tcW w:type="dxa" w:w="204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customer_concentration</w:t>
            </w:r>
          </w:p>
        </w:tc>
        <w:tc>
          <w:tcPr>
            <w:tcW w:type="dxa" w:w="226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客户集中度过高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Financial / Business</w:t>
            </w:r>
          </w:p>
        </w:tc>
        <w:tc>
          <w:tcPr>
            <w:tcW w:type="dxa" w:w="294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占比提取 + 规则</w:t>
            </w:r>
          </w:p>
        </w:tc>
      </w:tr>
      <w:tr>
        <w:tc>
          <w:tcPr>
            <w:tcW w:type="dxa" w:w="62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5</w:t>
            </w:r>
          </w:p>
        </w:tc>
        <w:tc>
          <w:tcPr>
            <w:tcW w:type="dxa" w:w="204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supplier_concentration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供应商集中度过高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Financial / Business</w:t>
            </w:r>
          </w:p>
        </w:tc>
        <w:tc>
          <w:tcPr>
            <w:tcW w:type="dxa" w:w="294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占比提取 + 规则</w:t>
            </w:r>
          </w:p>
        </w:tc>
      </w:tr>
      <w:tr>
        <w:tc>
          <w:tcPr>
            <w:tcW w:type="dxa" w:w="62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6</w:t>
            </w:r>
          </w:p>
        </w:tc>
        <w:tc>
          <w:tcPr>
            <w:tcW w:type="dxa" w:w="204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redemption_rights</w:t>
            </w:r>
          </w:p>
        </w:tc>
        <w:tc>
          <w:tcPr>
            <w:tcW w:type="dxa" w:w="226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赎回权及特殊股东权利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Legal</w:t>
            </w:r>
          </w:p>
        </w:tc>
        <w:tc>
          <w:tcPr>
            <w:tcW w:type="dxa" w:w="294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检索 + LLM候选提取 + 规则</w:t>
            </w:r>
          </w:p>
        </w:tc>
      </w:tr>
      <w:tr>
        <w:tc>
          <w:tcPr>
            <w:tcW w:type="dxa" w:w="62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7</w:t>
            </w:r>
          </w:p>
        </w:tc>
        <w:tc>
          <w:tcPr>
            <w:tcW w:type="dxa" w:w="204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material_litigation_compliance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重大诉讼与合规</w:t>
            </w:r>
          </w:p>
        </w:tc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Legal</w:t>
            </w:r>
          </w:p>
        </w:tc>
        <w:tc>
          <w:tcPr>
            <w:tcW w:type="dxa" w:w="294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语义提取 + 重大性与状态核验</w:t>
            </w:r>
          </w:p>
        </w:tc>
      </w:tr>
      <w:tr>
        <w:tc>
          <w:tcPr>
            <w:tcW w:type="dxa" w:w="62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8</w:t>
            </w:r>
          </w:p>
        </w:tc>
        <w:tc>
          <w:tcPr>
            <w:tcW w:type="dxa" w:w="204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precommercial_product</w:t>
            </w:r>
          </w:p>
        </w:tc>
        <w:tc>
          <w:tcPr>
            <w:tcW w:type="dxa" w:w="226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未商业化及核心产品依赖</w:t>
            </w:r>
          </w:p>
        </w:tc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Business</w:t>
            </w:r>
          </w:p>
        </w:tc>
        <w:tc>
          <w:tcPr>
            <w:tcW w:type="dxa" w:w="294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业务事实提取 + 规则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5.1 RiskItem统一要求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所有正式风险必须具有Evidence，包含物理页码和原文。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涉及数字的风险必须具有Calculation，记录输入、公式、结果、单位和Evidence ID。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Agent生成的候选风险初始状态为pending，不能自我宣布verified。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Verifier决定verified、needs_review或rejected。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无证据、计算失败、币种/单位/期间冲突的风险不得进入正式评分。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规则型或条款型风险可不包含Calculation，但必须有足够Evidence。</w:t>
      </w:r>
    </w:p>
    <w:p>
      <w:pPr>
        <w:widowControl/>
      </w:pPr>
      <w:r/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6. v0.3分棒任务清单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794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棒次</w:t>
            </w:r>
          </w:p>
        </w:tc>
        <w:tc>
          <w:tcPr>
            <w:tcW w:type="dxa" w:w="1814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唯一任务</w:t>
            </w:r>
          </w:p>
        </w:tc>
        <w:tc>
          <w:tcPr>
            <w:tcW w:type="dxa" w:w="379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主要输出</w:t>
            </w:r>
          </w:p>
        </w:tc>
        <w:tc>
          <w:tcPr>
            <w:tcW w:type="dxa" w:w="153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负责人</w:t>
            </w:r>
          </w:p>
        </w:tc>
        <w:tc>
          <w:tcPr>
            <w:tcW w:type="dxa" w:w="238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验收重点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V3-0（本次完成）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冻结v0.3范围与文档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以本文件替换旧版总清单，并同步README、ROADMAP和CHANGELOG；冻结风险目录、接力顺序和退出门槛。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技术负责人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只改文档，不改业务代码和公共Schema。</w:t>
            </w:r>
          </w:p>
        </w:tc>
      </w:tr>
      <w:tr>
        <w:tc>
          <w:tcPr>
            <w:tcW w:type="dxa" w:w="79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V3-1</w:t>
            </w:r>
          </w:p>
        </w:tc>
        <w:tc>
          <w:tcPr>
            <w:tcW w:type="dxa" w:w="181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黄金案例与标注规范</w:t>
            </w:r>
          </w:p>
        </w:tc>
        <w:tc>
          <w:tcPr>
            <w:tcW w:type="dxa" w:w="379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选择5—10份真实招股书，建立风险适用性、主证据页、原文、数值、单位、期间和标准核验状态。</w:t>
            </w:r>
          </w:p>
        </w:tc>
        <w:tc>
          <w:tcPr>
            <w:tcW w:type="dxa" w:w="153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财务/法务/业务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每类风险至少一个正例，关键案例双人复核，2025盲测不得进入。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V3-2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IPO基础信息Provider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从官方主数据桥接生成IPOProfile，处理匹配、占位、代码复用和特殊证券。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技术备份/数据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562个匹配案例稳定加载，缺失案例结构化降级。</w:t>
            </w:r>
          </w:p>
        </w:tc>
      </w:tr>
      <w:tr>
        <w:tc>
          <w:tcPr>
            <w:tcW w:type="dxa" w:w="79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V3-3</w:t>
            </w:r>
          </w:p>
        </w:tc>
        <w:tc>
          <w:tcPr>
            <w:tcW w:type="dxa" w:w="181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Retriever查询族泛化</w:t>
            </w:r>
          </w:p>
        </w:tc>
        <w:tc>
          <w:tcPr>
            <w:tcW w:type="dxa" w:w="379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增加收入、亏损、客户、供应商、特殊权利、诉讼、商业化和核心管线等查询族。</w:t>
            </w:r>
          </w:p>
        </w:tc>
        <w:tc>
          <w:tcPr>
            <w:tcW w:type="dxa" w:w="153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技术负责人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接口不变，支持简繁英、章节权重、稳定Evidence ID和无匹配空结果。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V3-4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可替换LLMProvider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建立Mock、真实和Unavailable Provider；只处理Retriever筛选后的少量Evidence。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技术负责人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输出Pydantic结构化事实，无API Key时确定性链路仍可运行。</w:t>
            </w:r>
          </w:p>
        </w:tc>
      </w:tr>
      <w:tr>
        <w:tc>
          <w:tcPr>
            <w:tcW w:type="dxa" w:w="79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V3-5</w:t>
            </w:r>
          </w:p>
        </w:tc>
        <w:tc>
          <w:tcPr>
            <w:tcW w:type="dxa" w:w="181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Financial Agent扩展</w:t>
            </w:r>
          </w:p>
        </w:tc>
        <w:tc>
          <w:tcPr>
            <w:tcW w:type="dxa" w:w="379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持续亏损、收入增长、客户集中度、供应商集中度及相关Skills。</w:t>
            </w:r>
          </w:p>
        </w:tc>
        <w:tc>
          <w:tcPr>
            <w:tcW w:type="dxa" w:w="153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财务成员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Decimal、单位、期间严格一致；不破坏2410.HK回归。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V3-6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Legal Agent真实化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特殊股东权利、重大诉讼和合规事项。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法务成员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识别权利是否有效、是否终止、是否恢复；防止模板化章节误报。</w:t>
            </w:r>
          </w:p>
        </w:tc>
      </w:tr>
      <w:tr>
        <w:tc>
          <w:tcPr>
            <w:tcW w:type="dxa" w:w="79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V3-7</w:t>
            </w:r>
          </w:p>
        </w:tc>
        <w:tc>
          <w:tcPr>
            <w:tcW w:type="dxa" w:w="181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Business Agent真实化</w:t>
            </w:r>
          </w:p>
        </w:tc>
        <w:tc>
          <w:tcPr>
            <w:tcW w:type="dxa" w:w="379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未商业化、核心产品和管线依赖。</w:t>
            </w:r>
          </w:p>
        </w:tc>
        <w:tc>
          <w:tcPr>
            <w:tcW w:type="dxa" w:w="153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业务成员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区分产品销售收入、授权收入和研发服务收入。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V3-8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专用Verifier体系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财务趋势、集中度、法律权利、诉讼合规、业务管线及整体一致性核验。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技术负责人+专业成员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错误结论可被拒绝，歧义进入needs_review。</w:t>
            </w:r>
          </w:p>
        </w:tc>
      </w:tr>
      <w:tr>
        <w:tc>
          <w:tcPr>
            <w:tcW w:type="dxa" w:w="79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V3-9</w:t>
            </w:r>
          </w:p>
        </w:tc>
        <w:tc>
          <w:tcPr>
            <w:tcW w:type="dxa" w:w="181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Supervisor与enhanced_v2</w:t>
            </w:r>
          </w:p>
        </w:tc>
        <w:tc>
          <w:tcPr>
            <w:tcW w:type="dxa" w:w="379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多Agent去重、冲突识别、组合风险、单Agent失败降级和新工作流。</w:t>
            </w:r>
          </w:p>
        </w:tc>
        <w:tc>
          <w:tcPr>
            <w:tcW w:type="dxa" w:w="153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技术负责人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保留mvp_v1；单个Agent失败时整体返回partial。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V3-10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批量运行与评测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批量分析脚本、黄金案例评测、断点续跑、失败报告和指标JSON。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技术备份/数据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默认禁止2025盲测；单案例失败不终止批次。</w:t>
            </w:r>
          </w:p>
        </w:tc>
      </w:tr>
      <w:tr>
        <w:tc>
          <w:tcPr>
            <w:tcW w:type="dxa" w:w="79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V3-11</w:t>
            </w:r>
          </w:p>
        </w:tc>
        <w:tc>
          <w:tcPr>
            <w:tcW w:type="dxa" w:w="181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Streamlit与报告</w:t>
            </w:r>
          </w:p>
        </w:tc>
        <w:tc>
          <w:tcPr>
            <w:tcW w:type="dxa" w:w="379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三Agent页签、Evidence、Calculation、核验状态、诊断和规则分构成。</w:t>
            </w:r>
          </w:p>
        </w:tc>
        <w:tc>
          <w:tcPr>
            <w:tcW w:type="dxa" w:w="153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业务/产品+技术</w:t>
            </w:r>
          </w:p>
        </w:tc>
        <w:tc>
          <w:tcPr>
            <w:tcW w:type="dxa" w:w="238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前端只调用IPOAnalysisService，不直接调用Agent或LLM。</w:t>
            </w:r>
          </w:p>
        </w:tc>
      </w:tr>
      <w:tr>
        <w:tc>
          <w:tcPr>
            <w:tcW w:type="dxa" w:w="79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V3-12</w:t>
            </w:r>
          </w:p>
        </w:tc>
        <w:tc>
          <w:tcPr>
            <w:tcW w:type="dxa" w:w="181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发布加固</w:t>
            </w:r>
          </w:p>
        </w:tc>
        <w:tc>
          <w:tcPr>
            <w:tcW w:type="dxa" w:w="379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完整测试、独立复跑、文档同步、Tag和Release。</w:t>
            </w:r>
          </w:p>
        </w:tc>
        <w:tc>
          <w:tcPr>
            <w:tcW w:type="dxa" w:w="153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全组</w:t>
            </w:r>
          </w:p>
        </w:tc>
        <w:tc>
          <w:tcPr>
            <w:tcW w:type="dxa" w:w="238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6"/>
              </w:rPr>
              <w:t>黄金案例100%运行、v0.2回归不变、无非预期崩溃。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7. 黄金案例与人工标注计划</w:t>
      </w:r>
    </w:p>
    <w:p>
      <w:pPr>
        <w:pStyle w:val="Heading2"/>
        <w:keepNext/>
        <w:widowControl/>
        <w:spacing w:before="160" w:after="100" w:line="276" w:lineRule="auto"/>
      </w:pPr>
      <w:r>
        <w:t>7.1 推荐案例构成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83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案例类型</w:t>
            </w:r>
          </w:p>
        </w:tc>
        <w:tc>
          <w:tcPr>
            <w:tcW w:type="dxa" w:w="1417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建议数量</w:t>
            </w:r>
          </w:p>
        </w:tc>
        <w:tc>
          <w:tcPr>
            <w:tcW w:type="dxa" w:w="5386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主要覆盖风险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18A未商业化生物科技</w:t>
            </w:r>
          </w:p>
        </w:tc>
        <w:tc>
          <w:tcPr>
            <w:tcW w:type="dxa" w:w="141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2</w:t>
            </w:r>
          </w:p>
        </w:tc>
        <w:tc>
          <w:tcPr>
            <w:tcW w:type="dxa" w:w="538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未商业化、核心管线、持续亏损、现金跑道</w:t>
            </w:r>
          </w:p>
        </w:tc>
      </w:tr>
      <w:tr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持续亏损但已有收入公司</w:t>
            </w:r>
          </w:p>
        </w:tc>
        <w:tc>
          <w:tcPr>
            <w:tcW w:type="dxa" w:w="141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1—2</w:t>
            </w:r>
          </w:p>
        </w:tc>
        <w:tc>
          <w:tcPr>
            <w:tcW w:type="dxa" w:w="5386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持续亏损、收入增长、现金消耗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高客户集中度公司</w:t>
            </w:r>
          </w:p>
        </w:tc>
        <w:tc>
          <w:tcPr>
            <w:tcW w:type="dxa" w:w="141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</w:t>
            </w:r>
          </w:p>
        </w:tc>
        <w:tc>
          <w:tcPr>
            <w:tcW w:type="dxa" w:w="538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客户集中度、业务依赖</w:t>
            </w:r>
          </w:p>
        </w:tc>
      </w:tr>
      <w:tr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高供应商集中度公司</w:t>
            </w:r>
          </w:p>
        </w:tc>
        <w:tc>
          <w:tcPr>
            <w:tcW w:type="dxa" w:w="141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</w:t>
            </w:r>
          </w:p>
        </w:tc>
        <w:tc>
          <w:tcPr>
            <w:tcW w:type="dxa" w:w="5386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供应商集中度、经营稳定性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特殊股东权利案例</w:t>
            </w:r>
          </w:p>
        </w:tc>
        <w:tc>
          <w:tcPr>
            <w:tcW w:type="dxa" w:w="141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</w:t>
            </w:r>
          </w:p>
        </w:tc>
        <w:tc>
          <w:tcPr>
            <w:tcW w:type="dxa" w:w="538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赎回权、清算优先权、反摊薄等</w:t>
            </w:r>
          </w:p>
        </w:tc>
      </w:tr>
      <w:tr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重大诉讼或合规案例</w:t>
            </w:r>
          </w:p>
        </w:tc>
        <w:tc>
          <w:tcPr>
            <w:tcW w:type="dxa" w:w="141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</w:t>
            </w:r>
          </w:p>
        </w:tc>
        <w:tc>
          <w:tcPr>
            <w:tcW w:type="dxa" w:w="5386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诉讼、处罚、牌照或整改状态</w:t>
            </w:r>
          </w:p>
        </w:tc>
      </w:tr>
      <w:tr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相对低风险对照案例</w:t>
            </w:r>
          </w:p>
        </w:tc>
        <w:tc>
          <w:tcPr>
            <w:tcW w:type="dxa" w:w="141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1—2</w:t>
            </w:r>
          </w:p>
        </w:tc>
        <w:tc>
          <w:tcPr>
            <w:tcW w:type="dxa" w:w="5386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8"/>
              </w:rPr>
              <w:t>负例、误报控制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7.2 每条金标准必须包含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case_id和股票代码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risk_code及是否适用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标准风险等级或不适用原因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物理PDF页码和章节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支持原文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金额、比例、币种和单位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报告期与期间长度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标准Calculation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标准verification_status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第一标注人、第二复核人和分歧记录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2CC"/>
            <w:tcBorders>
              <w:top w:val="single" w:sz="8" w:color="C65911"/>
              <w:left w:val="single" w:sz="8" w:color="C65911"/>
              <w:bottom w:val="single" w:sz="8" w:color="C65911"/>
              <w:right w:val="single" w:sz="8" w:color="C65911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widowControl/>
              <w:spacing w:after="60"/>
            </w:pPr>
            <w:r>
              <w:rPr>
                <w:rFonts w:ascii="Noto Sans CJK SC" w:hAnsi="Noto Sans CJK SC" w:eastAsia="Noto Sans CJK SC"/>
                <w:b/>
                <w:color w:val="C65911"/>
                <w:sz w:val="21"/>
              </w:rPr>
              <w:t>重要原则</w:t>
            </w:r>
          </w:p>
          <w:p>
            <w:pPr>
              <w:widowControl/>
              <w:spacing w:before="0" w:after="0" w:line="276" w:lineRule="auto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“没有找到证据”不等于“风险不存在”。黄金案例必须区分 not_applicable、evidence_not_found、extraction_failed、conflicting_values、needs_review 和 component_failure。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8. 三类真实Agent的实现边界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474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Agent</w:t>
            </w:r>
          </w:p>
        </w:tc>
        <w:tc>
          <w:tcPr>
            <w:tcW w:type="dxa" w:w="283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主要职责</w:t>
            </w:r>
          </w:p>
        </w:tc>
        <w:tc>
          <w:tcPr>
            <w:tcW w:type="dxa" w:w="317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优先实现方式</w:t>
            </w:r>
          </w:p>
        </w:tc>
        <w:tc>
          <w:tcPr>
            <w:tcW w:type="dxa" w:w="243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禁止事项</w:t>
            </w:r>
          </w:p>
        </w:tc>
      </w:tr>
      <w:tr>
        <w:tc>
          <w:tcPr>
            <w:tcW w:type="dxa" w:w="147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Financial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现金、亏损、收入、客户和供应商集中度</w:t>
            </w:r>
          </w:p>
        </w:tc>
        <w:tc>
          <w:tcPr>
            <w:tcW w:type="dxa" w:w="317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规则、表格解析、Decimal Skill为主</w:t>
            </w:r>
          </w:p>
        </w:tc>
        <w:tc>
          <w:tcPr>
            <w:tcW w:type="dxa" w:w="243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不得用LLM做精确计算</w:t>
            </w:r>
          </w:p>
        </w:tc>
      </w:tr>
      <w:tr>
        <w:tc>
          <w:tcPr>
            <w:tcW w:type="dxa" w:w="147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Legal</w:t>
            </w:r>
          </w:p>
        </w:tc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特殊股东权利、诉讼、处罚和合规</w:t>
            </w:r>
          </w:p>
        </w:tc>
        <w:tc>
          <w:tcPr>
            <w:tcW w:type="dxa" w:w="317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关键词检索 + LLM结构化提取 + 规则核验</w:t>
            </w:r>
          </w:p>
        </w:tc>
        <w:tc>
          <w:tcPr>
            <w:tcW w:type="dxa" w:w="243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不得仅凭章节标题判风险</w:t>
            </w:r>
          </w:p>
        </w:tc>
      </w:tr>
      <w:tr>
        <w:tc>
          <w:tcPr>
            <w:tcW w:type="dxa" w:w="147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Business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商业化状态、产品、管线和合作依赖</w:t>
            </w:r>
          </w:p>
        </w:tc>
        <w:tc>
          <w:tcPr>
            <w:tcW w:type="dxa" w:w="317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规则/LLM混合提取 + 业务规则</w:t>
            </w:r>
          </w:p>
        </w:tc>
        <w:tc>
          <w:tcPr>
            <w:tcW w:type="dxa" w:w="243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不得重复计算财务指标</w:t>
            </w:r>
          </w:p>
        </w:tc>
      </w:tr>
      <w:tr>
        <w:tc>
          <w:tcPr>
            <w:tcW w:type="dxa" w:w="147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Verifier</w:t>
            </w:r>
          </w:p>
        </w:tc>
        <w:tc>
          <w:tcPr>
            <w:tcW w:type="dxa" w:w="283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检查证据、数值、条款状态和结论</w:t>
            </w:r>
          </w:p>
        </w:tc>
        <w:tc>
          <w:tcPr>
            <w:tcW w:type="dxa" w:w="317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确定性规则为主</w:t>
            </w:r>
          </w:p>
        </w:tc>
        <w:tc>
          <w:tcPr>
            <w:tcW w:type="dxa" w:w="243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不得放过无证据正式风险</w:t>
            </w:r>
          </w:p>
        </w:tc>
      </w:tr>
      <w:tr>
        <w:tc>
          <w:tcPr>
            <w:tcW w:type="dxa" w:w="147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Supervisor</w:t>
            </w:r>
          </w:p>
        </w:tc>
        <w:tc>
          <w:tcPr>
            <w:tcW w:type="dxa" w:w="283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去重、冲突、组合摘要和失败降级</w:t>
            </w:r>
          </w:p>
        </w:tc>
        <w:tc>
          <w:tcPr>
            <w:tcW w:type="dxa" w:w="317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确定性规则，LLM仅可选摘要</w:t>
            </w:r>
          </w:p>
        </w:tc>
        <w:tc>
          <w:tcPr>
            <w:tcW w:type="dxa" w:w="243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不得创造新事实或新证据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8.1 LLM在v0.3中的正确位置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Retriever选出5—10段相关Evidence</w:t>
              <w:br/>
              <w:t xml:space="preserve">  ↓</w:t>
              <w:br/>
              <w:t>LLM只提取结构化候选事实</w:t>
              <w:br/>
              <w:t xml:space="preserve">  ↓</w:t>
              <w:br/>
              <w:t>Pydantic校验</w:t>
              <w:br/>
              <w:t xml:space="preserve">  ↓</w:t>
              <w:br/>
              <w:t>Python Skill / 规则判断</w:t>
              <w:br/>
              <w:t xml:space="preserve">  ↓</w:t>
              <w:br/>
              <w:t>Verifier核验</w:t>
              <w:br/>
              <w:t xml:space="preserve">  ↓</w:t>
              <w:br/>
              <w:t>正式RiskItem</w:t>
            </w:r>
          </w:p>
        </w:tc>
      </w:tr>
    </w:tbl>
    <w:p>
      <w:pPr>
        <w:widowControl/>
        <w:spacing w:after="0"/>
      </w:pP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不应把整份数百页PDF直接交给通用大模型，也不应让大模型直接生成最终分数。没有API Key时，财务确定性链路和部分规则型法务/业务链路仍应运行。</w:t>
      </w:r>
    </w:p>
    <w:p>
      <w:pPr>
        <w:widowControl/>
      </w:pPr>
      <w:r/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9. enhanced_v2工作流与失败语义</w:t>
      </w:r>
    </w:p>
    <w:p>
      <w:pPr>
        <w:pStyle w:val="Heading2"/>
        <w:keepNext/>
        <w:widowControl/>
        <w:spacing w:before="160" w:after="100" w:line="276" w:lineRule="auto"/>
      </w:pPr>
      <w:r>
        <w:t>9.1 建议工作流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load_ipo_profile</w:t>
              <w:br/>
              <w:t>→ load_market_snapshot</w:t>
              <w:br/>
              <w:t>→ document</w:t>
              <w:br/>
              <w:t>→ financial</w:t>
              <w:br/>
              <w:t>→ legal</w:t>
              <w:br/>
              <w:t>→ business</w:t>
              <w:br/>
              <w:t>→ market</w:t>
              <w:br/>
              <w:t>→ specialized_verifiers</w:t>
              <w:br/>
              <w:t>→ supervisor</w:t>
              <w:br/>
              <w:t>→ predictor</w:t>
              <w:br/>
              <w:t>→ report</w:t>
              <w:br/>
              <w:br/>
              <w:t>Repository不进入LangGraph；IPOAnalysisService在工作流返回后负责持久化。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9.2 必须保留的兼容性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保留mvp_v1，不删除v0.1/v0.2工作流。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保留Mock实现，Mock与真实实现通过配置切换。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不改变专业Agent统一返回list[RiskItem]的公共契约。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不改变IPOAnalysisService对外返回IPOAnalysisResult的契约。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公共Schema新增字段优先提供默认值，避免破坏旧结果。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Repository由IPOAnalysisService在工作流完成后调用；必须能够读取旧结果并记录schema_version。</w:t>
      </w:r>
    </w:p>
    <w:p>
      <w:pPr>
        <w:pStyle w:val="Heading2"/>
        <w:keepNext/>
        <w:widowControl/>
        <w:spacing w:before="160" w:after="100" w:line="276" w:lineRule="auto"/>
      </w:pPr>
      <w:r>
        <w:t>9.3 v0.3内部结构化诊断码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1984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诊断码</w:t>
            </w:r>
          </w:p>
        </w:tc>
        <w:tc>
          <w:tcPr>
            <w:tcW w:type="dxa" w:w="408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340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前端/评测处理</w:t>
            </w:r>
          </w:p>
        </w:tc>
      </w:tr>
      <w:tr>
        <w:tc>
          <w:tcPr>
            <w:tcW w:type="dxa" w:w="198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not_applicable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该风险对当前文档或证券不适用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不计为漏报</w:t>
            </w:r>
          </w:p>
        </w:tc>
      </w:tr>
      <w:tr>
        <w:tc>
          <w:tcPr>
            <w:tcW w:type="dxa" w:w="198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evidence_not_found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未找到足够证据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显示检索失败，不能当作无风险</w:t>
            </w:r>
          </w:p>
        </w:tc>
      </w:tr>
      <w:tr>
        <w:tc>
          <w:tcPr>
            <w:tcW w:type="dxa" w:w="198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extraction_failed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找到了候选页但提取失败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记录失败原因</w:t>
            </w:r>
          </w:p>
        </w:tc>
      </w:tr>
      <w:tr>
        <w:tc>
          <w:tcPr>
            <w:tcW w:type="dxa" w:w="198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conflicting_values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存在相互冲突的金额、单位或期间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进入needs_review</w:t>
            </w:r>
          </w:p>
        </w:tc>
      </w:tr>
      <w:tr>
        <w:tc>
          <w:tcPr>
            <w:tcW w:type="dxa" w:w="198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unsupported_layout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跨页表格或版式超出当前能力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记录能力边界</w:t>
            </w:r>
          </w:p>
        </w:tc>
      </w:tr>
      <w:tr>
        <w:tc>
          <w:tcPr>
            <w:tcW w:type="dxa" w:w="1984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component_failure</w:t>
            </w:r>
          </w:p>
        </w:tc>
        <w:tc>
          <w:tcPr>
            <w:tcW w:type="dxa" w:w="408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Agent、Provider或Skill异常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整体可返回partial</w:t>
            </w:r>
          </w:p>
        </w:tc>
      </w:tr>
      <w:tr>
        <w:tc>
          <w:tcPr>
            <w:tcW w:type="dxa" w:w="1984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needs_review</w:t>
            </w:r>
          </w:p>
        </w:tc>
        <w:tc>
          <w:tcPr>
            <w:tcW w:type="dxa" w:w="408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有证据但结论存在歧义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人工复核，不进入满额评分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10. v0.3多案例评测体系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170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评测层级</w:t>
            </w:r>
          </w:p>
        </w:tc>
        <w:tc>
          <w:tcPr>
            <w:tcW w:type="dxa" w:w="493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核心指标</w:t>
            </w:r>
          </w:p>
        </w:tc>
        <w:tc>
          <w:tcPr>
            <w:tcW w:type="dxa" w:w="311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建议退出门槛</w:t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Retriever</w:t>
            </w:r>
          </w:p>
        </w:tc>
        <w:tc>
          <w:tcPr>
            <w:tcW w:type="dxa" w:w="493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Recall@1、Recall@3、Recall@5、主证据页命中率</w:t>
            </w:r>
          </w:p>
        </w:tc>
        <w:tc>
          <w:tcPr>
            <w:tcW w:type="dxa" w:w="311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主证据Recall@3 ≥ 90%</w:t>
            </w:r>
          </w:p>
        </w:tc>
      </w:tr>
      <w:tr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Extractor</w:t>
            </w:r>
          </w:p>
        </w:tc>
        <w:tc>
          <w:tcPr>
            <w:tcW w:type="dxa" w:w="493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金额、比例、币种、单位、期间准确率</w:t>
            </w:r>
          </w:p>
        </w:tc>
        <w:tc>
          <w:tcPr>
            <w:tcW w:type="dxa" w:w="311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确定性数值准确率 ≥ 95%</w:t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Agent</w:t>
            </w:r>
          </w:p>
        </w:tc>
        <w:tc>
          <w:tcPr>
            <w:tcW w:type="dxa" w:w="493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RiskItem Precision、Recall、F1、误报与漏报</w:t>
            </w:r>
          </w:p>
        </w:tc>
        <w:tc>
          <w:tcPr>
            <w:tcW w:type="dxa" w:w="311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核心风险可稳定复现</w:t>
            </w:r>
          </w:p>
        </w:tc>
      </w:tr>
      <w:tr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Verifier</w:t>
            </w:r>
          </w:p>
        </w:tc>
        <w:tc>
          <w:tcPr>
            <w:tcW w:type="dxa" w:w="493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verified precision、错误拒绝率、needs_review合理性</w:t>
            </w:r>
          </w:p>
        </w:tc>
        <w:tc>
          <w:tcPr>
            <w:tcW w:type="dxa" w:w="311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verified precision ≥ 90%</w:t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Supervisor</w:t>
            </w:r>
          </w:p>
        </w:tc>
        <w:tc>
          <w:tcPr>
            <w:tcW w:type="dxa" w:w="493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重复风险数、冲突处理正确率、证据覆盖率</w:t>
            </w:r>
          </w:p>
        </w:tc>
        <w:tc>
          <w:tcPr>
            <w:tcW w:type="dxa" w:w="311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无明显重复与无证据综合结论</w:t>
            </w:r>
          </w:p>
        </w:tc>
      </w:tr>
      <w:tr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系统</w:t>
            </w:r>
          </w:p>
        </w:tc>
        <w:tc>
          <w:tcPr>
            <w:tcW w:type="dxa" w:w="493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案例完成率、partial比例、Agent失败率、平均耗时</w:t>
            </w:r>
          </w:p>
        </w:tc>
        <w:tc>
          <w:tcPr>
            <w:tcW w:type="dxa" w:w="311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黄金案例完整运行率100%，崩溃0</w:t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回归</w:t>
            </w:r>
          </w:p>
        </w:tc>
        <w:tc>
          <w:tcPr>
            <w:tcW w:type="dxa" w:w="493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2410.HK现金跑道和Mock模式</w:t>
            </w:r>
          </w:p>
        </w:tc>
        <w:tc>
          <w:tcPr>
            <w:tcW w:type="dxa" w:w="311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结果100%保持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10.1 批量输出文件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analysis_results.jsonl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risk_items.csv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evidence_results.csv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case_summary.csv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failure_report.csv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evaluation_metrics.json</w:t>
      </w:r>
    </w:p>
    <w:p>
      <w:pPr>
        <w:pStyle w:val="Heading2"/>
        <w:keepNext/>
        <w:widowControl/>
        <w:spacing w:before="160" w:after="100" w:line="276" w:lineRule="auto"/>
      </w:pPr>
      <w:r>
        <w:t>10.2 数据泄漏防线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2025年116份盲测案例默认禁止批量运行和调试。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v0.3只分析招股书中的文档风险，不使用上市后行情作为特征。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2024验证集不用于反复修改黄金规则；只用于时间外验证。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任何提示词、规则和阈值的修改必须记录版本。</w:t>
      </w: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11. 五人团队分工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757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成员角色</w:t>
            </w:r>
          </w:p>
        </w:tc>
        <w:tc>
          <w:tcPr>
            <w:tcW w:type="dxa" w:w="340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v0.3主责任</w:t>
            </w:r>
          </w:p>
        </w:tc>
        <w:tc>
          <w:tcPr>
            <w:tcW w:type="dxa" w:w="277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关键产出</w:t>
            </w:r>
          </w:p>
        </w:tc>
        <w:tc>
          <w:tcPr>
            <w:tcW w:type="dxa" w:w="226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避免事项</w:t>
            </w:r>
          </w:p>
        </w:tc>
      </w:tr>
      <w:tr>
        <w:tc>
          <w:tcPr>
            <w:tcW w:type="dxa" w:w="175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1号 技术负责人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架构、Retriever、LLM接口、Verifier、Supervisor、Workflow和发布</w:t>
            </w:r>
          </w:p>
        </w:tc>
        <w:tc>
          <w:tcPr>
            <w:tcW w:type="dxa" w:w="277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公共接口审查、集成PR、版本冻结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不要独自承担全部专业标注</w:t>
            </w:r>
          </w:p>
        </w:tc>
      </w:tr>
      <w:tr>
        <w:tc>
          <w:tcPr>
            <w:tcW w:type="dxa" w:w="175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2号 技术备份/数据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IPO Provider、特殊证券、批量运行、评测和独立复跑</w:t>
            </w:r>
          </w:p>
        </w:tc>
        <w:tc>
          <w:tcPr>
            <w:tcW w:type="dxa" w:w="277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Provider、评测脚本、部署记录</w:t>
            </w:r>
          </w:p>
        </w:tc>
        <w:tc>
          <w:tcPr>
            <w:tcW w:type="dxa" w:w="226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不要修改核心Workflow边界</w:t>
            </w:r>
          </w:p>
        </w:tc>
      </w:tr>
      <w:tr>
        <w:tc>
          <w:tcPr>
            <w:tcW w:type="dxa" w:w="175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3号 财务成员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持续亏损、收入增长、客户和供应商集中度</w:t>
            </w:r>
          </w:p>
        </w:tc>
        <w:tc>
          <w:tcPr>
            <w:tcW w:type="dxa" w:w="277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财务黄金案例、Skills、规则和测试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不要在前端计算财务指标</w:t>
            </w:r>
          </w:p>
        </w:tc>
      </w:tr>
      <w:tr>
        <w:tc>
          <w:tcPr>
            <w:tcW w:type="dxa" w:w="175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4号 法务成员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特殊股东权利、诉讼合规和第二复核</w:t>
            </w:r>
          </w:p>
        </w:tc>
        <w:tc>
          <w:tcPr>
            <w:tcW w:type="dxa" w:w="277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法律词典、标注、Legal Verifier规则</w:t>
            </w:r>
          </w:p>
        </w:tc>
        <w:tc>
          <w:tcPr>
            <w:tcW w:type="dxa" w:w="226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不要把一般性风险提示当成已发生事实</w:t>
            </w:r>
          </w:p>
        </w:tc>
      </w:tr>
      <w:tr>
        <w:tc>
          <w:tcPr>
            <w:tcW w:type="dxa" w:w="175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5号 业务/产品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未商业化、核心产品依赖、UI和报告验收</w:t>
            </w:r>
          </w:p>
        </w:tc>
        <w:tc>
          <w:tcPr>
            <w:tcW w:type="dxa" w:w="277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业务黄金案例、页面原型、演示材料</w:t>
            </w:r>
          </w:p>
        </w:tc>
        <w:tc>
          <w:tcPr>
            <w:tcW w:type="dxa" w:w="226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不要直接调用Agent或LLM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11.1 受保护的共享边界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src/ipo_risk/schemas/</w:t>
              <w:br/>
              <w:t>src/ipo_risk/agents/base.py</w:t>
              <w:br/>
              <w:t>src/ipo_risk/parsers/base.py</w:t>
              <w:br/>
              <w:t>src/ipo_risk/retrieval/base.py</w:t>
              <w:br/>
              <w:t>src/ipo_risk/providers/</w:t>
              <w:br/>
              <w:t>src/ipo_risk/core/container.py</w:t>
              <w:br/>
              <w:t>src/ipo_risk/domain/risk_codes.py</w:t>
              <w:br/>
              <w:t>src/ipo_risk/workflows/</w:t>
              <w:br/>
              <w:t>src/ipo_risk/services/</w:t>
            </w:r>
          </w:p>
        </w:tc>
      </w:tr>
    </w:tbl>
    <w:p>
      <w:pPr>
        <w:widowControl/>
        <w:spacing w:after="0"/>
      </w:pP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这些文件由技术负责人统一集成，多个成员不得在不同分支同时进行大范围重写。</w:t>
      </w:r>
    </w:p>
    <w:p>
      <w:pPr>
        <w:widowControl/>
      </w:pPr>
      <w:r/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12. 分支、接力顺序与阶段里程碑</w:t>
      </w:r>
    </w:p>
    <w:p>
      <w:pPr>
        <w:pStyle w:val="Heading2"/>
        <w:keepNext/>
        <w:widowControl/>
        <w:spacing w:before="160" w:after="100" w:line="276" w:lineRule="auto"/>
      </w:pPr>
      <w:r>
        <w:t>12.1 建议分支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docs/v03-master-plan</w:t>
              <w:br/>
              <w:t>feat/v03-golden-cases</w:t>
              <w:br/>
              <w:t>feat/catalog-ipo-provider</w:t>
              <w:br/>
              <w:t>feat/retrieval-query-families</w:t>
              <w:br/>
              <w:t>feat/llm-provider</w:t>
              <w:br/>
              <w:t>feat/financial-multi-risk-agent</w:t>
              <w:br/>
              <w:t>feat/legal-risk-agent</w:t>
              <w:br/>
              <w:t>feat/business-risk-agent</w:t>
              <w:br/>
              <w:t>feat/v03-risk-verifiers</w:t>
              <w:br/>
              <w:t>feat/enhanced-v2-workflow</w:t>
              <w:br/>
              <w:t>feat/v03-batch-evaluation</w:t>
              <w:br/>
              <w:t>feat/v03-reporting-ui</w:t>
              <w:br/>
              <w:t>fix/v03-release-validation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12.2 建议阶段节奏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247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351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主要任务</w:t>
            </w:r>
          </w:p>
        </w:tc>
        <w:tc>
          <w:tcPr>
            <w:tcW w:type="dxa" w:w="255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可并行事项</w:t>
            </w:r>
          </w:p>
        </w:tc>
        <w:tc>
          <w:tcPr>
            <w:tcW w:type="dxa" w:w="2665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阶段出口</w:t>
            </w:r>
          </w:p>
        </w:tc>
      </w:tr>
      <w:tr>
        <w:tc>
          <w:tcPr>
            <w:tcW w:type="dxa" w:w="124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第1阶段</w:t>
            </w:r>
          </w:p>
        </w:tc>
        <w:tc>
          <w:tcPr>
            <w:tcW w:type="dxa" w:w="351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R0发布收尾 + V3-0计划冻结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文档复核、独立复跑</w:t>
            </w:r>
          </w:p>
        </w:tc>
        <w:tc>
          <w:tcPr>
            <w:tcW w:type="dxa" w:w="266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v0.2正式Release</w:t>
            </w:r>
          </w:p>
        </w:tc>
      </w:tr>
      <w:tr>
        <w:tc>
          <w:tcPr>
            <w:tcW w:type="dxa" w:w="124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第2阶段</w:t>
            </w:r>
          </w:p>
        </w:tc>
        <w:tc>
          <w:tcPr>
            <w:tcW w:type="dxa" w:w="351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V3-1黄金案例 + V3-2 IPO Provider</w:t>
            </w:r>
          </w:p>
        </w:tc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财务/法务/业务标注可并行</w:t>
            </w:r>
          </w:p>
        </w:tc>
        <w:tc>
          <w:tcPr>
            <w:tcW w:type="dxa" w:w="266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案例和基础信息可稳定加载</w:t>
            </w:r>
          </w:p>
        </w:tc>
      </w:tr>
      <w:tr>
        <w:tc>
          <w:tcPr>
            <w:tcW w:type="dxa" w:w="124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第3阶段</w:t>
            </w:r>
          </w:p>
        </w:tc>
        <w:tc>
          <w:tcPr>
            <w:tcW w:type="dxa" w:w="351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V3-3 Retriever + V3-4 LLMProvider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词典和Prompt设计</w:t>
            </w:r>
          </w:p>
        </w:tc>
        <w:tc>
          <w:tcPr>
            <w:tcW w:type="dxa" w:w="266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三类Evidence查询可运行</w:t>
            </w:r>
          </w:p>
        </w:tc>
      </w:tr>
      <w:tr>
        <w:tc>
          <w:tcPr>
            <w:tcW w:type="dxa" w:w="124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第4阶段</w:t>
            </w:r>
          </w:p>
        </w:tc>
        <w:tc>
          <w:tcPr>
            <w:tcW w:type="dxa" w:w="351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V3-5/6/7三个真实Agent</w:t>
            </w:r>
          </w:p>
        </w:tc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专业Agent可分支并行</w:t>
            </w:r>
          </w:p>
        </w:tc>
        <w:tc>
          <w:tcPr>
            <w:tcW w:type="dxa" w:w="266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每个Agent完成最小风险闭环</w:t>
            </w:r>
          </w:p>
        </w:tc>
      </w:tr>
      <w:tr>
        <w:tc>
          <w:tcPr>
            <w:tcW w:type="dxa" w:w="124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第5阶段</w:t>
            </w:r>
          </w:p>
        </w:tc>
        <w:tc>
          <w:tcPr>
            <w:tcW w:type="dxa" w:w="351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V3-8 Verifier + V3-9 Supervisor/Workflow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Verifier规则复核</w:t>
            </w:r>
          </w:p>
        </w:tc>
        <w:tc>
          <w:tcPr>
            <w:tcW w:type="dxa" w:w="266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完整单案例多Agent闭环</w:t>
            </w:r>
          </w:p>
        </w:tc>
      </w:tr>
      <w:tr>
        <w:tc>
          <w:tcPr>
            <w:tcW w:type="dxa" w:w="1247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第6阶段</w:t>
            </w:r>
          </w:p>
        </w:tc>
        <w:tc>
          <w:tcPr>
            <w:tcW w:type="dxa" w:w="351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V3-10批量评测 + V3-11 UI/报告</w:t>
            </w:r>
          </w:p>
        </w:tc>
        <w:tc>
          <w:tcPr>
            <w:tcW w:type="dxa" w:w="255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评测与页面可并行</w:t>
            </w:r>
          </w:p>
        </w:tc>
        <w:tc>
          <w:tcPr>
            <w:tcW w:type="dxa" w:w="2665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5—10案例评测完成</w:t>
            </w:r>
          </w:p>
        </w:tc>
      </w:tr>
      <w:tr>
        <w:tc>
          <w:tcPr>
            <w:tcW w:type="dxa" w:w="1247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第7阶段</w:t>
            </w:r>
          </w:p>
        </w:tc>
        <w:tc>
          <w:tcPr>
            <w:tcW w:type="dxa" w:w="351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V3-12发布加固</w:t>
            </w:r>
          </w:p>
        </w:tc>
        <w:tc>
          <w:tcPr>
            <w:tcW w:type="dxa" w:w="255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独立复跑、材料同步</w:t>
            </w:r>
          </w:p>
        </w:tc>
        <w:tc>
          <w:tcPr>
            <w:tcW w:type="dxa" w:w="2665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v0.3正式Release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13. 每一棒统一验收命令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pytest -q</w:t>
              <w:br/>
              <w:t>python scripts/validate_project.py</w:t>
              <w:br/>
              <w:t>python scripts/validate_competition_data.py</w:t>
              <w:br/>
              <w:t>python -m compileall -q app src</w:t>
              <w:br/>
              <w:t>git diff --check</w:t>
            </w:r>
          </w:p>
        </w:tc>
      </w:tr>
    </w:tbl>
    <w:p>
      <w:pPr>
        <w:widowControl/>
        <w:spacing w:after="0"/>
      </w:pP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涉及真实PDF时增加：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python scripts/check_real_v02_e2e.py</w:t>
            </w:r>
          </w:p>
        </w:tc>
      </w:tr>
    </w:tbl>
    <w:p>
      <w:pPr>
        <w:widowControl/>
        <w:spacing w:after="0"/>
      </w:pP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v0.3批量评测完成后增加：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7F7"/>
            <w:tcBorders>
              <w:top w:val="single" w:sz="4" w:color="CFCFCF"/>
              <w:left w:val="single" w:sz="4" w:color="CFCFCF"/>
              <w:bottom w:val="single" w:sz="4" w:color="CFCFCF"/>
              <w:right w:val="single" w:sz="4" w:color="CFCFCF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widowControl/>
              <w:spacing w:after="0"/>
            </w:pPr>
            <w:r>
              <w:rPr>
                <w:rFonts w:ascii="Liberation Mono" w:hAnsi="Liberation Mono" w:eastAsia="Liberation Mono"/>
                <w:b w:val="0"/>
                <w:color w:val="222222"/>
                <w:sz w:val="18"/>
              </w:rPr>
              <w:t>python scripts/evaluate_v03_golden_cases.py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13.1 每一棒汇报模板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创建了哪些文件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修改了哪些文件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实现了哪些功能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是否影响公共接口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执行了哪些测试及结果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如何启动和复现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当前仍使用哪些Mock或Unavailable组件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已知限制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下一棒的明确输入</w:t>
      </w: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14. v0.4及后续版本计划</w:t>
      </w:r>
    </w:p>
    <w:p>
      <w:pPr>
        <w:pStyle w:val="Heading2"/>
        <w:keepNext/>
        <w:widowControl/>
        <w:spacing w:before="160" w:after="100" w:line="276" w:lineRule="auto"/>
      </w:pPr>
      <w:r>
        <w:t>14.1 v0.4.0-market-risk-prediction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1020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40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任务</w:t>
            </w:r>
          </w:p>
        </w:tc>
        <w:tc>
          <w:tcPr>
            <w:tcW w:type="dxa" w:w="5499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主要输出</w:t>
            </w:r>
          </w:p>
        </w:tc>
      </w:tr>
      <w:tr>
        <w:tc>
          <w:tcPr>
            <w:tcW w:type="dxa" w:w="102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V4-1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证券类别、上市日期和发行价语义治理</w:t>
            </w:r>
          </w:p>
        </w:tc>
        <w:tc>
          <w:tcPr>
            <w:tcW w:type="dxa" w:w="549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普通股/REIT/SPAC/权证资格与时间边界</w:t>
            </w:r>
          </w:p>
        </w:tc>
      </w:tr>
      <w:tr>
        <w:tc>
          <w:tcPr>
            <w:tcW w:type="dxa" w:w="102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V4-2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正式MarketDataProvider</w:t>
            </w:r>
          </w:p>
        </w:tc>
        <w:tc>
          <w:tcPr>
            <w:tcW w:type="dxa" w:w="549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按证券和交易日读取OHLCV</w:t>
            </w:r>
          </w:p>
        </w:tc>
      </w:tr>
      <w:tr>
        <w:tc>
          <w:tcPr>
            <w:tcW w:type="dxa" w:w="102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V4-3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上市后标签</w:t>
            </w:r>
          </w:p>
        </w:tc>
        <w:tc>
          <w:tcPr>
            <w:tcW w:type="dxa" w:w="549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首日、5日、20日、60日收益、破发和回撤</w:t>
            </w:r>
          </w:p>
        </w:tc>
      </w:tr>
      <w:tr>
        <w:tc>
          <w:tcPr>
            <w:tcW w:type="dxa" w:w="102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V4-4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上市前市场特征</w:t>
            </w:r>
          </w:p>
        </w:tc>
        <w:tc>
          <w:tcPr>
            <w:tcW w:type="dxa" w:w="549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恒指、行业、近期IPO、波动率和市场活跃度</w:t>
            </w:r>
          </w:p>
        </w:tc>
      </w:tr>
      <w:tr>
        <w:tc>
          <w:tcPr>
            <w:tcW w:type="dxa" w:w="102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V4-5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真实Market Agent</w:t>
            </w:r>
          </w:p>
        </w:tc>
        <w:tc>
          <w:tcPr>
            <w:tcW w:type="dxa" w:w="549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上市前市场风险Evidence和MarketSnapshot</w:t>
            </w:r>
          </w:p>
        </w:tc>
      </w:tr>
      <w:tr>
        <w:tc>
          <w:tcPr>
            <w:tcW w:type="dxa" w:w="102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V4-6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模型基线</w:t>
            </w:r>
          </w:p>
        </w:tc>
        <w:tc>
          <w:tcPr>
            <w:tcW w:type="dxa" w:w="549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Rule、Logistic和LightGBM</w:t>
            </w:r>
          </w:p>
        </w:tc>
      </w:tr>
      <w:tr>
        <w:tc>
          <w:tcPr>
            <w:tcW w:type="dxa" w:w="1020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V4-7</w:t>
            </w:r>
          </w:p>
        </w:tc>
        <w:tc>
          <w:tcPr>
            <w:tcW w:type="dxa" w:w="34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时间外验证</w:t>
            </w:r>
          </w:p>
        </w:tc>
        <w:tc>
          <w:tcPr>
            <w:tcW w:type="dxa" w:w="5499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2020—2023开发、2024验证</w:t>
            </w:r>
          </w:p>
        </w:tc>
      </w:tr>
      <w:tr>
        <w:tc>
          <w:tcPr>
            <w:tcW w:type="dxa" w:w="1020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V4-8</w:t>
            </w:r>
          </w:p>
        </w:tc>
        <w:tc>
          <w:tcPr>
            <w:tcW w:type="dxa" w:w="34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最终盲测</w:t>
            </w:r>
          </w:p>
        </w:tc>
        <w:tc>
          <w:tcPr>
            <w:tcW w:type="dxa" w:w="5499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2025一次性评估，不再调参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  <w:spacing w:before="160" w:after="100" w:line="276" w:lineRule="auto"/>
      </w:pPr>
      <w:r>
        <w:t>14.2 v0.5.0-evaluation-and-validation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选择20—30家公司，建立200—300条人工风险标注。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系统评测覆盖Parser、Retriever、Extractor、Agent、Verifier和市场模型。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开展无LLM、无Verifier、单Agent、多Agent、无市场特征等消融实验。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形成错误分类、失败案例、模型校准和可复现实验报告。</w:t>
      </w:r>
    </w:p>
    <w:p>
      <w:pPr>
        <w:pStyle w:val="Heading2"/>
        <w:keepNext/>
        <w:pageBreakBefore/>
        <w:widowControl/>
        <w:spacing w:before="160" w:after="100" w:line="276" w:lineRule="auto"/>
      </w:pPr>
      <w:r>
        <w:t>14.3 提交准备、RC和v1.0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1701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5102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核心任务</w:t>
            </w:r>
          </w:p>
        </w:tc>
        <w:tc>
          <w:tcPr>
            <w:tcW w:type="dxa" w:w="3118"/>
            <w:shd w:fill="183B5B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widowControl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退出标准</w:t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提交准备</w:t>
            </w:r>
          </w:p>
        </w:tc>
        <w:tc>
          <w:tcPr>
            <w:tcW w:type="dxa" w:w="51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页面、自动报告、PPT、视频、操作与部署手册</w:t>
            </w:r>
          </w:p>
        </w:tc>
        <w:tc>
          <w:tcPr>
            <w:tcW w:type="dxa" w:w="311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评委能理解、运行和验证</w:t>
            </w:r>
          </w:p>
        </w:tc>
      </w:tr>
      <w:tr>
        <w:tc>
          <w:tcPr>
            <w:tcW w:type="dxa" w:w="1701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RC</w:t>
            </w:r>
          </w:p>
        </w:tc>
        <w:tc>
          <w:tcPr>
            <w:tcW w:type="dxa" w:w="5102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依赖、Prompt、规则、模型、黄金案例冻结；新电脑和异常复跑</w:t>
            </w:r>
          </w:p>
        </w:tc>
        <w:tc>
          <w:tcPr>
            <w:tcW w:type="dxa" w:w="3118"/>
            <w:shd w:fill="F2F2F2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无阻塞Bug，核心链路100%复现</w:t>
            </w:r>
          </w:p>
        </w:tc>
      </w:tr>
      <w:tr>
        <w:tc>
          <w:tcPr>
            <w:tcW w:type="dxa" w:w="1701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v1.0</w:t>
            </w:r>
          </w:p>
        </w:tc>
        <w:tc>
          <w:tcPr>
            <w:tcW w:type="dxa" w:w="5102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完整源码、模型、配置、结果、报告和材料包</w:t>
            </w:r>
          </w:p>
        </w:tc>
        <w:tc>
          <w:tcPr>
            <w:tcW w:type="dxa" w:w="3118"/>
            <w:shd w:fill="FFFFFF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widowControl/>
              <w:jc w:val="left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17"/>
              </w:rPr>
              <w:t>完成正式参赛提交并保留备份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15. 当前立即执行顺序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1. </w:t>
      </w:r>
      <w:r>
        <w:rPr>
          <w:rFonts w:ascii="Noto Sans CJK SC" w:hAnsi="Noto Sans CJK SC" w:eastAsia="Noto Sans CJK SC"/>
          <w:b w:val="0"/>
          <w:color w:val="222222"/>
          <w:sz w:val="21"/>
        </w:rPr>
        <w:t>完成v0.2独立复跑和第二标注人金标准复核。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2. </w:t>
      </w:r>
      <w:r>
        <w:rPr>
          <w:rFonts w:ascii="Noto Sans CJK SC" w:hAnsi="Noto Sans CJK SC" w:eastAsia="Noto Sans CJK SC"/>
          <w:b w:val="0"/>
          <w:color w:val="222222"/>
          <w:sz w:val="21"/>
        </w:rPr>
        <w:t>创建v0.2 Tag、GitHub Release和版本复盘文档。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>3. 本计划已写入ROADMAP和PROJECT_MASTER_CHECKLIST，v0.3范围已冻结。</w:t>
      </w:r>
      <w:r>
        <w:rPr>
          <w:rFonts w:ascii="Noto Sans CJK SC" w:hAnsi="Noto Sans CJK SC" w:eastAsia="Noto Sans CJK SC"/>
          <w:b w:val="0"/>
          <w:color w:val="222222"/>
          <w:sz w:val="21"/>
        </w:rPr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4. </w:t>
      </w:r>
      <w:r>
        <w:rPr>
          <w:rFonts w:ascii="Noto Sans CJK SC" w:hAnsi="Noto Sans CJK SC" w:eastAsia="Noto Sans CJK SC"/>
          <w:b w:val="0"/>
          <w:color w:val="222222"/>
          <w:sz w:val="21"/>
        </w:rPr>
        <w:t>建立v0.3黄金案例和标注规范。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5. </w:t>
      </w:r>
      <w:r>
        <w:rPr>
          <w:rFonts w:ascii="Noto Sans CJK SC" w:hAnsi="Noto Sans CJK SC" w:eastAsia="Noto Sans CJK SC"/>
          <w:b w:val="0"/>
          <w:color w:val="222222"/>
          <w:sz w:val="21"/>
        </w:rPr>
        <w:t>开发CatalogIPODataProvider并正式治理三个特殊证券。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6. </w:t>
      </w:r>
      <w:r>
        <w:rPr>
          <w:rFonts w:ascii="Noto Sans CJK SC" w:hAnsi="Noto Sans CJK SC" w:eastAsia="Noto Sans CJK SC"/>
          <w:b w:val="0"/>
          <w:color w:val="222222"/>
          <w:sz w:val="21"/>
        </w:rPr>
        <w:t>扩展Retriever并建立可替换LLMProvider。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7. </w:t>
      </w:r>
      <w:r>
        <w:rPr>
          <w:rFonts w:ascii="Noto Sans CJK SC" w:hAnsi="Noto Sans CJK SC" w:eastAsia="Noto Sans CJK SC"/>
          <w:b w:val="0"/>
          <w:color w:val="222222"/>
          <w:sz w:val="21"/>
        </w:rPr>
        <w:t>分别实现Financial、Legal、Business Agent。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8. </w:t>
      </w:r>
      <w:r>
        <w:rPr>
          <w:rFonts w:ascii="Noto Sans CJK SC" w:hAnsi="Noto Sans CJK SC" w:eastAsia="Noto Sans CJK SC"/>
          <w:b w:val="0"/>
          <w:color w:val="222222"/>
          <w:sz w:val="21"/>
        </w:rPr>
        <w:t>建立专用Verifier、Supervisor和enhanced_v2工作流。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9. </w:t>
      </w:r>
      <w:r>
        <w:rPr>
          <w:rFonts w:ascii="Noto Sans CJK SC" w:hAnsi="Noto Sans CJK SC" w:eastAsia="Noto Sans CJK SC"/>
          <w:b w:val="0"/>
          <w:color w:val="222222"/>
          <w:sz w:val="21"/>
        </w:rPr>
        <w:t>完成批量评测、Streamlit和证据化报告。</w:t>
      </w:r>
    </w:p>
    <w:p>
      <w:pPr>
        <w:widowControl/>
        <w:spacing w:after="60"/>
      </w:pPr>
      <w:r>
        <w:rPr>
          <w:rFonts w:ascii="Noto Sans CJK SC" w:hAnsi="Noto Sans CJK SC" w:eastAsia="Noto Sans CJK SC"/>
          <w:b/>
          <w:color w:val="2F75B5"/>
          <w:sz w:val="21"/>
        </w:rPr>
        <w:t xml:space="preserve">10. </w:t>
      </w:r>
      <w:r>
        <w:rPr>
          <w:rFonts w:ascii="Noto Sans CJK SC" w:hAnsi="Noto Sans CJK SC" w:eastAsia="Noto Sans CJK SC"/>
          <w:b w:val="0"/>
          <w:color w:val="222222"/>
          <w:sz w:val="21"/>
        </w:rPr>
        <w:t>完成独立复跑并发布v0.3。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2F0D9"/>
            <w:tcBorders>
              <w:top w:val="single" w:sz="8" w:color="2E7D32"/>
              <w:left w:val="single" w:sz="8" w:color="2E7D32"/>
              <w:bottom w:val="single" w:sz="8" w:color="2E7D32"/>
              <w:right w:val="single" w:sz="8" w:color="2E7D3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widowControl/>
              <w:spacing w:after="60"/>
            </w:pPr>
            <w:r>
              <w:rPr>
                <w:rFonts w:ascii="Noto Sans CJK SC" w:hAnsi="Noto Sans CJK SC" w:eastAsia="Noto Sans CJK SC"/>
                <w:b/>
                <w:color w:val="2E7D32"/>
                <w:sz w:val="21"/>
              </w:rPr>
              <w:t>项目主线总结</w:t>
            </w:r>
          </w:p>
          <w:p>
            <w:pPr>
              <w:widowControl/>
              <w:spacing w:before="0" w:after="0" w:line="276" w:lineRule="auto"/>
            </w:pPr>
            <w:r>
              <w:rPr>
                <w:rFonts w:ascii="Noto Sans CJK SC" w:hAnsi="Noto Sans CJK SC" w:eastAsia="Noto Sans CJK SC"/>
                <w:b w:val="0"/>
                <w:color w:val="222222"/>
                <w:sz w:val="20"/>
              </w:rPr>
              <w:t>v0.2已经完成真实单风险闭环和赛事数据治理；当前先完成正式发布。v0.3集中实现真实多Agent文档分析，v0.4再进入市场标签和预测，v0.5负责正式评测与实证证明，随后完成产品化、RC冻结和v1.0正式提交。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br w:type="page"/>
      </w: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附录A：v0.3退出条件检查表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Financial、Legal、Business三个真实Agent可用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8类风险进入正式风险注册表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至少5份、建议8—10份黄金案例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所有正式风险都有Evidence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所有数字风险都有Calculation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专用Verifier能够拒绝错误结论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Supervisor能够去重、处理冲突和失败降级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enhanced_v2工作流可配置运行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批量运行器和评测脚本可运行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Streamlit能展示多Agent结果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mvp_v1和Mock模式继续可用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2410.HK现金跑道结果不回归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无LLM API时确定性功能可运行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黄金主证据Recall@3达到90%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确定性金额/比例准确率达到95%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verified风险精确率达到90%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黄金案例完整运行率100%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2025盲测集未参与开发调试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独立环境复跑通过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☑ README、ROADMAP、CHANGELOG和总清单已于本次同步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□ 创建v0.3 Tag和Release</w:t>
      </w:r>
    </w:p>
    <w:p>
      <w:pPr>
        <w:pStyle w:val="Heading1"/>
        <w:keepNext/>
        <w:pageBreakBefore w:val="0"/>
        <w:widowControl/>
        <w:spacing w:before="200" w:after="120" w:line="276" w:lineRule="auto"/>
      </w:pPr>
      <w:r>
        <w:t>附录B：来源基准与版本说明</w:t>
      </w:r>
    </w:p>
    <w:p>
      <w:pPr>
        <w:widowControl/>
        <w:spacing w:before="0" w:after="80" w:line="276" w:lineRule="auto"/>
      </w:pPr>
      <w:r>
        <w:rPr>
          <w:rFonts w:ascii="Noto Sans CJK SC" w:hAnsi="Noto Sans CJK SC" w:eastAsia="Noto Sans CJK SC"/>
          <w:b w:val="0"/>
          <w:color w:val="222222"/>
          <w:sz w:val="21"/>
        </w:rPr>
        <w:t>本计划基于GitHub仓库 richardssheik107-hub/hk-ipo-risk-agents 的main分支审核基线编制；文档提交后的main SHA会前移，因此以附录所列审核基线复现实证。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基准提交：fbeb279309094cdf488d0522e6f3ca8eabff31ab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提交说明：data: close out B-line competition data governance (#19)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提交记录：284 passing tests and GitHub Actions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本文件不等同于GitHub Release；v0.2仍需完成团队独立复跑、第二标注人复核、Tag与Release。</w:t>
      </w:r>
    </w:p>
    <w:p>
      <w:pPr>
        <w:pStyle w:val="ListBullet"/>
        <w:widowControl/>
        <w:spacing w:after="40"/>
        <w:ind w:left="283" w:hanging="142"/>
      </w:pPr>
      <w:r>
        <w:rPr>
          <w:rFonts w:ascii="Noto Sans CJK SC" w:hAnsi="Noto Sans CJK SC" w:eastAsia="Noto Sans CJK SC"/>
          <w:b w:val="0"/>
          <w:color w:val="222222"/>
          <w:sz w:val="20"/>
        </w:rPr>
        <w:t>后续如公共Schema、赛题要求或数据源发生变化，应先更新本计划再启动新开发棒。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center"/>
    </w:pPr>
    <w:r>
      <w:rPr>
        <w:rFonts w:ascii="Noto Sans CJK SC" w:hAnsi="Noto Sans CJK SC" w:eastAsia="Noto Sans CJK SC"/>
        <w:b w:val="0"/>
        <w:color w:val="666666"/>
        <w:sz w:val="16"/>
      </w:rPr>
      <w:t>基准提交：fbeb279  |  更新日期：2026-08-06  |  内部项目管理文件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jc w:val="right"/>
    </w:pPr>
    <w:r>
      <w:rPr>
        <w:rFonts w:ascii="Noto Sans CJK SC" w:hAnsi="Noto Sans CJK SC" w:eastAsia="Noto Sans CJK SC"/>
        <w:b w:val="0"/>
        <w:color w:val="666666"/>
        <w:sz w:val="17"/>
      </w:rPr>
      <w:t>HK IPO Risk Agents  |  项目总计划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B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2222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83B5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Note">
    <w:name w:val="Plan Note"/>
    <w:rPr>
      <w:rFonts w:ascii="Noto Sans CJK SC" w:hAnsi="Noto Sans CJK SC" w:eastAsia="Noto Sans CJK SC"/>
      <w:color w:val="666666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HK IPO Risk Agents 项目主计划与 v0.3 开发路线</dc:title>
  <dc:subject>基于 main 审核基线 fbeb279 的 v0.3—v1.0 项目计划</dc:subject>
  <dc:creator>python-docx</dc:creator>
  <cp:keywords/>
  <dc:description>2026-08-06 审核修订版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