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before="360" w:after="160"/>
        <w:jc w:val="center"/>
      </w:pPr>
      <w:r>
        <w:rPr>
          <w:rFonts w:ascii="Noto Sans CJK SC" w:hAnsi="Noto Sans CJK SC" w:eastAsia="Noto Sans CJK SC"/>
          <w:b/>
          <w:color w:val="183B5B"/>
          <w:sz w:val="46"/>
        </w:rPr>
        <w:t>HK IPO Risk Agents</w:t>
        <w:br/>
        <w:t>项目主计划与 v0.3 路线</w:t>
      </w:r>
    </w:p>
    <w:p>
      <w:pPr>
        <w:widowControl/>
        <w:spacing w:after="360"/>
        <w:jc w:val="center"/>
      </w:pPr>
      <w:r>
        <w:t>基于 v0.2.0 正式发布基线 916df5d 的 v0.3—v1.0 开发路线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E2F0D9"/>
            <w:tcBorders>
              <w:top w:val="single" w:sz="8" w:color="2E7D32"/>
              <w:left w:val="single" w:sz="8" w:color="2E7D32"/>
              <w:bottom w:val="single" w:sz="8" w:color="2E7D32"/>
              <w:right w:val="single" w:sz="8" w:color="2E7D32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>
              <w:t>当前正式基线</w:t>
              <w:br/>
              <w:t>v0.2.0已于2026-08-06正式发布，Tag为v0.2.0-real-document-slice，冻结提交为916df5d。远程main全新克隆、Python 3.12.10独立环境、284项测试和2410.HK真实E2E全部通过；第562/563页完成第二次独立证据复核。当前进入v0.3.0。</w:t>
            </w:r>
          </w:p>
        </w:tc>
      </w:tr>
    </w:tbl>
    <w:p>
      <w:pPr>
        <w:widowControl/>
        <w:spacing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</w:trPr>
        <w:tc>
          <w:tcPr>
            <w:tcW w:type="dxa" w:w="2835"/>
            <w:shd w:fill="183B5B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widowControl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6236"/>
            <w:shd w:fill="183B5B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widowControl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20"/>
              </w:rPr>
              <w:t>当前状态</w:t>
            </w:r>
          </w:p>
        </w:tc>
      </w:tr>
      <w:tr>
        <w:tc>
          <w:tcPr>
            <w:tcW w:type="dxa" w:w="2835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20"/>
              </w:rPr>
              <w:t>v0.1.0</w:t>
            </w:r>
          </w:p>
        </w:tc>
        <w:tc>
          <w:tcPr>
            <w:tcW w:type="dxa" w:w="6236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20"/>
              </w:rPr>
              <w:t>架构级MVP已发布</w:t>
            </w:r>
          </w:p>
        </w:tc>
      </w:tr>
      <w:tr>
        <w:tc>
          <w:tcPr>
            <w:tcW w:type="dxa" w:w="2835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20"/>
              </w:rPr>
              <w:t>v0.2.0代码</w:t>
            </w:r>
          </w:p>
        </w:tc>
        <w:tc>
          <w:tcPr>
            <w:tcW w:type="dxa" w:w="6236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20"/>
              </w:rPr>
              <w:t>已全部进入main</w:t>
            </w:r>
          </w:p>
        </w:tc>
      </w:tr>
      <w:tr>
        <w:tc>
          <w:tcPr>
            <w:tcW w:type="dxa" w:w="2835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20"/>
              </w:rPr>
              <w:t>v0.2.0 Release</w:t>
            </w:r>
          </w:p>
        </w:tc>
        <w:tc>
          <w:tcPr>
            <w:tcW w:type="dxa" w:w="6236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r>
              <w:t>已发布：v0.2.0-real-document-slice</w:t>
            </w:r>
          </w:p>
        </w:tc>
      </w:tr>
      <w:tr>
        <w:tc>
          <w:tcPr>
            <w:tcW w:type="dxa" w:w="2835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20"/>
              </w:rPr>
              <w:t>下一开发版本</w:t>
            </w:r>
          </w:p>
        </w:tc>
        <w:tc>
          <w:tcPr>
            <w:tcW w:type="dxa" w:w="6236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20"/>
              </w:rPr>
              <w:t>v0.3.0真实多Agent文档风险分析</w:t>
            </w:r>
          </w:p>
        </w:tc>
      </w:tr>
      <w:tr>
        <w:tc>
          <w:tcPr>
            <w:tcW w:type="dxa" w:w="2835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20"/>
              </w:rPr>
              <w:t>远期版本</w:t>
            </w:r>
          </w:p>
        </w:tc>
        <w:tc>
          <w:tcPr>
            <w:tcW w:type="dxa" w:w="6236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20"/>
              </w:rPr>
              <w:t>v0.4市场预测、v0.5正式评测、RC与v1.0提交</w:t>
            </w:r>
          </w:p>
        </w:tc>
      </w:tr>
    </w:tbl>
    <w:p>
      <w:pPr>
        <w:widowControl/>
        <w:spacing w:after="0"/>
      </w:pPr>
    </w:p>
    <w:p>
      <w:pPr>
        <w:widowControl/>
        <w:jc w:val="center"/>
      </w:pPr>
      <w:r>
        <w:rPr>
          <w:rFonts w:ascii="Noto Sans CJK SC" w:hAnsi="Noto Sans CJK SC" w:eastAsia="Noto Sans CJK SC"/>
          <w:b w:val="0"/>
          <w:color w:val="666666"/>
          <w:sz w:val="19"/>
        </w:rPr>
        <w:t>适用对象：5人参赛团队 / 技术负责人 / 数据治理 / 财务 / 法务 / 业务与产品</w:t>
      </w:r>
    </w:p>
    <w:p>
      <w:pPr>
        <w:widowControl/>
      </w:pPr>
      <w:r>
        <w:br w:type="page"/>
      </w:r>
    </w:p>
    <w:p>
      <w:pPr>
        <w:pStyle w:val="Heading1"/>
        <w:keepNext/>
        <w:pageBreakBefore w:val="0"/>
        <w:widowControl/>
        <w:spacing w:before="200" w:after="120" w:line="276" w:lineRule="auto"/>
      </w:pPr>
      <w:r>
        <w:t>1. 项目总体目标与当前基线</w:t>
      </w:r>
    </w:p>
    <w:p>
      <w:pPr>
        <w:widowControl/>
        <w:spacing w:before="0" w:after="80" w:line="276" w:lineRule="auto"/>
      </w:pPr>
      <w:r>
        <w:rPr>
          <w:rFonts w:ascii="Noto Sans CJK SC" w:hAnsi="Noto Sans CJK SC" w:eastAsia="Noto Sans CJK SC"/>
          <w:b w:val="0"/>
          <w:color w:val="222222"/>
          <w:sz w:val="21"/>
        </w:rPr>
        <w:t>项目目标是构建一个证据驱动的港股IPO招股书解析与上市后风险预警系统。系统以招股书PDF为核心输入，将文档解析、证据检索、专业Agent分析、确定性计算、Verifier核验、Supervisor协同和市场预测逐层组合。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EDF5FB"/>
            <w:tcBorders>
              <w:top w:val="single" w:sz="8" w:color="2F75B5"/>
              <w:left w:val="single" w:sz="8" w:color="2F75B5"/>
              <w:bottom w:val="single" w:sz="8" w:color="2F75B5"/>
              <w:right w:val="single" w:sz="8" w:color="2F75B5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widowControl/>
              <w:spacing w:after="60"/>
            </w:pPr>
            <w:r>
              <w:rPr>
                <w:rFonts w:ascii="Noto Sans CJK SC" w:hAnsi="Noto Sans CJK SC" w:eastAsia="Noto Sans CJK SC"/>
                <w:b/>
                <w:color w:val="2F75B5"/>
                <w:sz w:val="21"/>
              </w:rPr>
              <w:t>最终完整链路</w:t>
            </w:r>
          </w:p>
          <w:p>
            <w:pPr>
              <w:widowControl/>
              <w:spacing w:before="0" w:after="0" w:line="276" w:lineRule="auto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20"/>
              </w:rPr>
              <w:t>招股书PDF → Parser → Retriever → Financial / Legal / Business Agent → Skills → Verifier → Supervisor → IPO与市场数据 → Market Agent / Predictor → Evidence化报告与风险预警。</w:t>
            </w:r>
          </w:p>
        </w:tc>
      </w:tr>
    </w:tbl>
    <w:p>
      <w:pPr>
        <w:widowControl/>
        <w:spacing w:after="0"/>
      </w:pPr>
    </w:p>
    <w:p>
      <w:pPr>
        <w:pStyle w:val="Heading2"/>
        <w:keepNext/>
        <w:widowControl/>
        <w:spacing w:before="160" w:after="100" w:line="276" w:lineRule="auto"/>
      </w:pPr>
      <w:r>
        <w:t>1.1 v0.2已经完成的能力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✓ 真实PyMuPDF解析：保留物理页码、原文和稳定Chunk。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✓ 确定性关键词Evidence检索：现金及现金等价物、经营活动现金流。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✓ 财务数值提取：币种、单位、报告期、期间长度和括号负数。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✓ 现金跑道Skill：以Decimal完成月度消耗和可持续月数计算。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✓ 现金跑道RiskItem、专用Verifier和verified-only规则评分。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✓ Workflow、IPOAnalysisService、JSON Repository和Streamlit真实模式。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✓ 565份招股书manifest、555/10行情覆盖和562/3官方IPO主数据桥接。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✓ 24份影子样本、12份人工核对、A2.6复测与全量manifest自动对账。</w:t>
      </w:r>
    </w:p>
    <w:p>
      <w:pPr>
        <w:pStyle w:val="Heading2"/>
        <w:keepNext/>
        <w:widowControl/>
        <w:spacing w:before="160" w:after="100" w:line="276" w:lineRule="auto"/>
      </w:pPr>
      <w:r>
        <w:t>1.2 当前尚未真实实现的能力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□ Legal Agent仍为unavailable，不输出虚构法律风险。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□ Business Agent仍为unavailable，不输出虚构业务风险。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□ Market Agent和正式MarketDataProvider尚未接入。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□ LLMProvider尚未作为生产组件接入。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□ 当前规则风险分不是经过校准的上市后下跌概率。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□ 1/5/20/60交易日标签、Logistic和LightGBM模型尚未建立。</w:t>
      </w:r>
    </w:p>
    <w:p>
      <w:pPr>
        <w:pStyle w:val="Heading2"/>
        <w:keepNext/>
        <w:widowControl/>
        <w:spacing w:before="160" w:after="100" w:line="276" w:lineRule="auto"/>
      </w:pPr>
      <w:r>
        <w:t>1.3 数据基线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</w:trPr>
        <w:tc>
          <w:tcPr>
            <w:tcW w:type="dxa" w:w="2551"/>
            <w:shd w:fill="183B5B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widowControl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数据范围</w:t>
            </w:r>
          </w:p>
        </w:tc>
        <w:tc>
          <w:tcPr>
            <w:tcW w:type="dxa" w:w="1701"/>
            <w:shd w:fill="183B5B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widowControl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数量</w:t>
            </w:r>
          </w:p>
        </w:tc>
        <w:tc>
          <w:tcPr>
            <w:tcW w:type="dxa" w:w="4819"/>
            <w:shd w:fill="183B5B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widowControl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用途</w:t>
            </w:r>
          </w:p>
        </w:tc>
      </w:tr>
      <w:tr>
        <w:tc>
          <w:tcPr>
            <w:tcW w:type="dxa" w:w="255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8"/>
              </w:rPr>
              <w:t>2020—2023</w:t>
            </w:r>
          </w:p>
        </w:tc>
        <w:tc>
          <w:tcPr>
            <w:tcW w:type="dxa" w:w="170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8"/>
              </w:rPr>
              <w:t>376份</w:t>
            </w:r>
          </w:p>
        </w:tc>
        <w:tc>
          <w:tcPr>
            <w:tcW w:type="dxa" w:w="4819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8"/>
              </w:rPr>
              <w:t>开发集</w:t>
            </w:r>
          </w:p>
        </w:tc>
      </w:tr>
      <w:tr>
        <w:tc>
          <w:tcPr>
            <w:tcW w:type="dxa" w:w="2551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8"/>
              </w:rPr>
              <w:t>2024</w:t>
            </w:r>
          </w:p>
        </w:tc>
        <w:tc>
          <w:tcPr>
            <w:tcW w:type="dxa" w:w="1701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8"/>
              </w:rPr>
              <w:t>72份</w:t>
            </w:r>
          </w:p>
        </w:tc>
        <w:tc>
          <w:tcPr>
            <w:tcW w:type="dxa" w:w="4819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8"/>
              </w:rPr>
              <w:t>验证集</w:t>
            </w:r>
          </w:p>
        </w:tc>
      </w:tr>
      <w:tr>
        <w:tc>
          <w:tcPr>
            <w:tcW w:type="dxa" w:w="255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8"/>
              </w:rPr>
              <w:t>2410.HK</w:t>
            </w:r>
          </w:p>
        </w:tc>
        <w:tc>
          <w:tcPr>
            <w:tcW w:type="dxa" w:w="170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8"/>
              </w:rPr>
              <w:t>1份</w:t>
            </w:r>
          </w:p>
        </w:tc>
        <w:tc>
          <w:tcPr>
            <w:tcW w:type="dxa" w:w="4819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8"/>
              </w:rPr>
              <w:t>v0.2开发例外</w:t>
            </w:r>
          </w:p>
        </w:tc>
      </w:tr>
      <w:tr>
        <w:tc>
          <w:tcPr>
            <w:tcW w:type="dxa" w:w="2551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8"/>
              </w:rPr>
              <w:t>2025</w:t>
            </w:r>
          </w:p>
        </w:tc>
        <w:tc>
          <w:tcPr>
            <w:tcW w:type="dxa" w:w="1701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8"/>
              </w:rPr>
              <w:t>116份</w:t>
            </w:r>
          </w:p>
        </w:tc>
        <w:tc>
          <w:tcPr>
            <w:tcW w:type="dxa" w:w="4819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8"/>
              </w:rPr>
              <w:t>盲测集，禁止调规则或调参</w:t>
            </w:r>
          </w:p>
        </w:tc>
      </w:tr>
      <w:tr>
        <w:tc>
          <w:tcPr>
            <w:tcW w:type="dxa" w:w="255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8"/>
              </w:rPr>
              <w:t>全部招股书</w:t>
            </w:r>
          </w:p>
        </w:tc>
        <w:tc>
          <w:tcPr>
            <w:tcW w:type="dxa" w:w="170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8"/>
              </w:rPr>
              <w:t>565份</w:t>
            </w:r>
          </w:p>
        </w:tc>
        <w:tc>
          <w:tcPr>
            <w:tcW w:type="dxa" w:w="4819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8"/>
              </w:rPr>
              <w:t>文档分析主宇宙</w:t>
            </w:r>
          </w:p>
        </w:tc>
      </w:tr>
      <w:tr>
        <w:tc>
          <w:tcPr>
            <w:tcW w:type="dxa" w:w="2551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8"/>
              </w:rPr>
              <w:t>有日行情覆盖</w:t>
            </w:r>
          </w:p>
        </w:tc>
        <w:tc>
          <w:tcPr>
            <w:tcW w:type="dxa" w:w="1701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8"/>
              </w:rPr>
              <w:t>555份</w:t>
            </w:r>
          </w:p>
        </w:tc>
        <w:tc>
          <w:tcPr>
            <w:tcW w:type="dxa" w:w="4819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8"/>
              </w:rPr>
              <w:t>未来市场标签候选</w:t>
            </w:r>
          </w:p>
        </w:tc>
      </w:tr>
      <w:tr>
        <w:tc>
          <w:tcPr>
            <w:tcW w:type="dxa" w:w="255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8"/>
              </w:rPr>
              <w:t>无日行情覆盖</w:t>
            </w:r>
          </w:p>
        </w:tc>
        <w:tc>
          <w:tcPr>
            <w:tcW w:type="dxa" w:w="170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8"/>
              </w:rPr>
              <w:t>10份</w:t>
            </w:r>
          </w:p>
        </w:tc>
        <w:tc>
          <w:tcPr>
            <w:tcW w:type="dxa" w:w="4819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8"/>
              </w:rPr>
              <w:t>仅文档链路与降级测试</w:t>
            </w:r>
          </w:p>
        </w:tc>
      </w:tr>
    </w:tbl>
    <w:p>
      <w:pPr>
        <w:widowControl/>
        <w:spacing w:after="0"/>
      </w:pPr>
    </w:p>
    <w:p>
      <w:pPr>
        <w:widowControl/>
      </w:pPr>
      <w:r/>
    </w:p>
    <w:p>
      <w:pPr>
        <w:pStyle w:val="Heading1"/>
        <w:keepNext/>
        <w:pageBreakBefore w:val="0"/>
        <w:widowControl/>
        <w:spacing w:before="200" w:after="120" w:line="276" w:lineRule="auto"/>
      </w:pPr>
      <w:r>
        <w:t>2. 更新后的版本总路线图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1191"/>
            <w:shd w:fill="183B5B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widowControl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版本</w:t>
            </w:r>
          </w:p>
        </w:tc>
        <w:tc>
          <w:tcPr>
            <w:tcW w:type="dxa" w:w="2381"/>
            <w:shd w:fill="183B5B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widowControl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核心问题</w:t>
            </w:r>
          </w:p>
        </w:tc>
        <w:tc>
          <w:tcPr>
            <w:tcW w:type="dxa" w:w="4082"/>
            <w:shd w:fill="183B5B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widowControl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主要交付物</w:t>
            </w:r>
          </w:p>
        </w:tc>
        <w:tc>
          <w:tcPr>
            <w:tcW w:type="dxa" w:w="1701"/>
            <w:shd w:fill="183B5B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widowControl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当前状态</w:t>
            </w:r>
          </w:p>
        </w:tc>
      </w:tr>
      <w:tr>
        <w:tc>
          <w:tcPr>
            <w:tcW w:type="dxa" w:w="119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v0.1.0</w:t>
            </w:r>
          </w:p>
        </w:tc>
        <w:tc>
          <w:tcPr>
            <w:tcW w:type="dxa" w:w="238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系统架构能否完整运行</w:t>
            </w:r>
          </w:p>
        </w:tc>
        <w:tc>
          <w:tcPr>
            <w:tcW w:type="dxa" w:w="4082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统一Schema、Mock组件、LangGraph、Service、UI、测试</w:t>
            </w:r>
          </w:p>
        </w:tc>
        <w:tc>
          <w:tcPr>
            <w:tcW w:type="dxa" w:w="170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已发布</w:t>
            </w:r>
          </w:p>
        </w:tc>
      </w:tr>
      <w:tr>
        <w:tc>
          <w:tcPr>
            <w:tcW w:type="dxa" w:w="1191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v0.2.0</w:t>
            </w:r>
          </w:p>
        </w:tc>
        <w:tc>
          <w:tcPr>
            <w:tcW w:type="dxa" w:w="2381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能否从真实PDF得到一条可信风险</w:t>
            </w:r>
          </w:p>
        </w:tc>
        <w:tc>
          <w:tcPr>
            <w:tcW w:type="dxa" w:w="4082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真实现金跑道闭环、赛事数据治理、影子测试</w:t>
            </w:r>
          </w:p>
        </w:tc>
        <w:tc>
          <w:tcPr>
            <w:tcW w:type="dxa" w:w="1701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r>
              <w:t>已正式发布</w:t>
            </w:r>
          </w:p>
        </w:tc>
      </w:tr>
      <w:tr>
        <w:tc>
          <w:tcPr>
            <w:tcW w:type="dxa" w:w="119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v0.3.0</w:t>
            </w:r>
          </w:p>
        </w:tc>
        <w:tc>
          <w:tcPr>
            <w:tcW w:type="dxa" w:w="238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能否进行真实多Agent文档风险分析</w:t>
            </w:r>
          </w:p>
        </w:tc>
        <w:tc>
          <w:tcPr>
            <w:tcW w:type="dxa" w:w="4082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3个真实Agent、8类风险、黄金案例、批量评测</w:t>
            </w:r>
          </w:p>
        </w:tc>
        <w:tc>
          <w:tcPr>
            <w:tcW w:type="dxa" w:w="170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下一开发版本</w:t>
            </w:r>
          </w:p>
        </w:tc>
      </w:tr>
      <w:tr>
        <w:tc>
          <w:tcPr>
            <w:tcW w:type="dxa" w:w="1191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v0.4.0</w:t>
            </w:r>
          </w:p>
        </w:tc>
        <w:tc>
          <w:tcPr>
            <w:tcW w:type="dxa" w:w="2381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文档风险能否连接上市后真实表现</w:t>
            </w:r>
          </w:p>
        </w:tc>
        <w:tc>
          <w:tcPr>
            <w:tcW w:type="dxa" w:w="4082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行情、标签、Market Agent、Logistic、LightGBM</w:t>
            </w:r>
          </w:p>
        </w:tc>
        <w:tc>
          <w:tcPr>
            <w:tcW w:type="dxa" w:w="1701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待规划</w:t>
            </w:r>
          </w:p>
        </w:tc>
      </w:tr>
      <w:tr>
        <w:tc>
          <w:tcPr>
            <w:tcW w:type="dxa" w:w="119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v0.5.0</w:t>
            </w:r>
          </w:p>
        </w:tc>
        <w:tc>
          <w:tcPr>
            <w:tcW w:type="dxa" w:w="238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系统效果是否经过正式证明</w:t>
            </w:r>
          </w:p>
        </w:tc>
        <w:tc>
          <w:tcPr>
            <w:tcW w:type="dxa" w:w="4082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20—30家公司、200—300条标注、消融与失败分析</w:t>
            </w:r>
          </w:p>
        </w:tc>
        <w:tc>
          <w:tcPr>
            <w:tcW w:type="dxa" w:w="170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待规划</w:t>
            </w:r>
          </w:p>
        </w:tc>
      </w:tr>
      <w:tr>
        <w:tc>
          <w:tcPr>
            <w:tcW w:type="dxa" w:w="1191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提交准备</w:t>
            </w:r>
          </w:p>
        </w:tc>
        <w:tc>
          <w:tcPr>
            <w:tcW w:type="dxa" w:w="2381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如何形成参赛产品</w:t>
            </w:r>
          </w:p>
        </w:tc>
        <w:tc>
          <w:tcPr>
            <w:tcW w:type="dxa" w:w="4082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页面、报告、PPT、视频、手册</w:t>
            </w:r>
          </w:p>
        </w:tc>
        <w:tc>
          <w:tcPr>
            <w:tcW w:type="dxa" w:w="1701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待规划</w:t>
            </w:r>
          </w:p>
        </w:tc>
      </w:tr>
      <w:tr>
        <w:tc>
          <w:tcPr>
            <w:tcW w:type="dxa" w:w="119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RC</w:t>
            </w:r>
          </w:p>
        </w:tc>
        <w:tc>
          <w:tcPr>
            <w:tcW w:type="dxa" w:w="238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别人能否稳定复现</w:t>
            </w:r>
          </w:p>
        </w:tc>
        <w:tc>
          <w:tcPr>
            <w:tcW w:type="dxa" w:w="4082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冻结、独立环境、异常测试、离线演示</w:t>
            </w:r>
          </w:p>
        </w:tc>
        <w:tc>
          <w:tcPr>
            <w:tcW w:type="dxa" w:w="170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待规划</w:t>
            </w:r>
          </w:p>
        </w:tc>
      </w:tr>
      <w:tr>
        <w:tc>
          <w:tcPr>
            <w:tcW w:type="dxa" w:w="1191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v1.0.0</w:t>
            </w:r>
          </w:p>
        </w:tc>
        <w:tc>
          <w:tcPr>
            <w:tcW w:type="dxa" w:w="2381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正式参赛提交</w:t>
            </w:r>
          </w:p>
        </w:tc>
        <w:tc>
          <w:tcPr>
            <w:tcW w:type="dxa" w:w="4082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完整源码、模型、结果和材料包</w:t>
            </w:r>
          </w:p>
        </w:tc>
        <w:tc>
          <w:tcPr>
            <w:tcW w:type="dxa" w:w="1701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待规划</w:t>
            </w:r>
          </w:p>
        </w:tc>
      </w:tr>
    </w:tbl>
    <w:p>
      <w:pPr>
        <w:widowControl/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CE4D6"/>
            <w:tcBorders>
              <w:top w:val="single" w:sz="8" w:color="C65911"/>
              <w:left w:val="single" w:sz="8" w:color="C65911"/>
              <w:bottom w:val="single" w:sz="8" w:color="C65911"/>
              <w:right w:val="single" w:sz="8" w:color="C65911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widowControl/>
              <w:spacing w:after="60"/>
            </w:pPr>
            <w:r>
              <w:rPr>
                <w:rFonts w:ascii="Noto Sans CJK SC" w:hAnsi="Noto Sans CJK SC" w:eastAsia="Noto Sans CJK SC"/>
                <w:b/>
                <w:color w:val="C65911"/>
                <w:sz w:val="21"/>
              </w:rPr>
              <w:t>路线原则</w:t>
            </w:r>
          </w:p>
          <w:p>
            <w:pPr>
              <w:widowControl/>
              <w:spacing w:before="0" w:after="0" w:line="276" w:lineRule="auto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20"/>
              </w:rPr>
              <w:t>v0.2解决“读得出来并算得正确”；v0.3解决“分专业分析得全面”；v0.4解决“连接市场并预测”；v0.5解决“证明系统有效”；随后完成产品化、RC冻结和正式提交。</w:t>
            </w:r>
          </w:p>
        </w:tc>
      </w:tr>
    </w:tbl>
    <w:p>
      <w:pPr>
        <w:widowControl/>
        <w:spacing w:after="0"/>
      </w:pPr>
    </w:p>
    <w:p>
      <w:pPr>
        <w:pStyle w:val="Heading1"/>
        <w:keepNext/>
        <w:pageBreakBefore w:val="0"/>
        <w:widowControl/>
        <w:spacing w:before="200" w:after="120" w:line="276" w:lineRule="auto"/>
      </w:pPr>
      <w:r>
        <w:t>3. 阶段R0：v0.2正式发布收尾</w:t>
      </w:r>
    </w:p>
    <w:p>
      <w:pPr>
        <w:widowControl/>
        <w:spacing w:before="0" w:after="80" w:line="276" w:lineRule="auto"/>
      </w:pPr>
      <w:r>
        <w:rPr>
          <w:rFonts w:ascii="Noto Sans CJK SC" w:hAnsi="Noto Sans CJK SC" w:eastAsia="Noto Sans CJK SC"/>
          <w:b w:val="0"/>
          <w:color w:val="222222"/>
          <w:sz w:val="21"/>
        </w:rPr>
        <w:t>v0.2的开发代码已进入main，本阶段不得新增大功能，只完成发布、复盘和v0.3输入冻结。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rPr>
          <w:tblHeader w:val="true"/>
        </w:trPr>
        <w:tc>
          <w:tcPr>
            <w:tcW w:type="dxa" w:w="850"/>
            <w:shd w:fill="183B5B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widowControl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编号</w:t>
            </w:r>
          </w:p>
        </w:tc>
        <w:tc>
          <w:tcPr>
            <w:tcW w:type="dxa" w:w="1871"/>
            <w:shd w:fill="183B5B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widowControl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任务</w:t>
            </w:r>
          </w:p>
        </w:tc>
        <w:tc>
          <w:tcPr>
            <w:tcW w:type="dxa" w:w="2551"/>
            <w:shd w:fill="183B5B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widowControl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主要交付物</w:t>
            </w:r>
          </w:p>
        </w:tc>
        <w:tc>
          <w:tcPr>
            <w:tcW w:type="dxa" w:w="1587"/>
            <w:shd w:fill="183B5B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widowControl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负责人</w:t>
            </w:r>
          </w:p>
        </w:tc>
        <w:tc>
          <w:tcPr>
            <w:tcW w:type="dxa" w:w="2835"/>
            <w:shd w:fill="183B5B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widowControl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完成标准</w:t>
            </w:r>
          </w:p>
        </w:tc>
      </w:tr>
      <w:tr>
        <w:tc>
          <w:tcPr>
            <w:tcW w:type="dxa" w:w="850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R0-1（自动验收完成）</w:t>
            </w:r>
          </w:p>
        </w:tc>
        <w:tc>
          <w:tcPr>
            <w:tcW w:type="dxa" w:w="187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最新main完整复跑</w:t>
            </w:r>
          </w:p>
        </w:tc>
        <w:tc>
          <w:tcPr>
            <w:tcW w:type="dxa" w:w="255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测试日志与环境记录</w:t>
            </w:r>
          </w:p>
        </w:tc>
        <w:tc>
          <w:tcPr>
            <w:tcW w:type="dxa" w:w="1587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技术负责人</w:t>
            </w:r>
          </w:p>
        </w:tc>
        <w:tc>
          <w:tcPr>
            <w:tcW w:type="dxa" w:w="2835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全部测试、校验、编译和真实E2E通过</w:t>
            </w:r>
          </w:p>
        </w:tc>
      </w:tr>
      <w:tr>
        <w:tc>
          <w:tcPr>
            <w:tcW w:type="dxa" w:w="850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R0-2</w:t>
            </w:r>
          </w:p>
        </w:tc>
        <w:tc>
          <w:tcPr>
            <w:tcW w:type="dxa" w:w="1871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技术备份独立复跑</w:t>
            </w:r>
          </w:p>
        </w:tc>
        <w:tc>
          <w:tcPr>
            <w:tcW w:type="dxa" w:w="2551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独立环境验收记录</w:t>
            </w:r>
          </w:p>
        </w:tc>
        <w:tc>
          <w:tcPr>
            <w:tcW w:type="dxa" w:w="1587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技术备份</w:t>
            </w:r>
          </w:p>
        </w:tc>
        <w:tc>
          <w:tcPr>
            <w:tcW w:type="dxa" w:w="2835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新环境安装、Mock、真实PDF和数据验证成功</w:t>
            </w:r>
          </w:p>
        </w:tc>
      </w:tr>
      <w:tr>
        <w:tc>
          <w:tcPr>
            <w:tcW w:type="dxa" w:w="850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R0-3</w:t>
            </w:r>
          </w:p>
        </w:tc>
        <w:tc>
          <w:tcPr>
            <w:tcW w:type="dxa" w:w="187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第二标注人复核2410.HK</w:t>
            </w:r>
          </w:p>
        </w:tc>
        <w:tc>
          <w:tcPr>
            <w:tcW w:type="dxa" w:w="255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金标准复核表</w:t>
            </w:r>
          </w:p>
        </w:tc>
        <w:tc>
          <w:tcPr>
            <w:tcW w:type="dxa" w:w="1587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法务/第二复核</w:t>
            </w:r>
          </w:p>
        </w:tc>
        <w:tc>
          <w:tcPr>
            <w:tcW w:type="dxa" w:w="2835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第562/563页、金额、单位、期间及2.76个月确认</w:t>
            </w:r>
          </w:p>
        </w:tc>
      </w:tr>
      <w:tr>
        <w:tc>
          <w:tcPr>
            <w:tcW w:type="dxa" w:w="850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R0-4（数据治理完成）</w:t>
            </w:r>
          </w:p>
        </w:tc>
        <w:tc>
          <w:tcPr>
            <w:tcW w:type="dxa" w:w="1871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特殊证券治理记录</w:t>
            </w:r>
          </w:p>
        </w:tc>
        <w:tc>
          <w:tcPr>
            <w:tcW w:type="dxa" w:w="2551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02191/04801/04841说明</w:t>
            </w:r>
          </w:p>
        </w:tc>
        <w:tc>
          <w:tcPr>
            <w:tcW w:type="dxa" w:w="1587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数据成员</w:t>
            </w:r>
          </w:p>
        </w:tc>
        <w:tc>
          <w:tcPr>
            <w:tcW w:type="dxa" w:w="2835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明确REIT、SPAC股份/权证映射及资格</w:t>
            </w:r>
          </w:p>
        </w:tc>
      </w:tr>
      <w:tr>
        <w:tc>
          <w:tcPr>
            <w:tcW w:type="dxa" w:w="850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R0-5（本次同步完成）</w:t>
            </w:r>
          </w:p>
        </w:tc>
        <w:tc>
          <w:tcPr>
            <w:tcW w:type="dxa" w:w="187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发布文档同步</w:t>
            </w:r>
          </w:p>
        </w:tc>
        <w:tc>
          <w:tcPr>
            <w:tcW w:type="dxa" w:w="255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README、CHANGELOG、ROADMAP、总清单</w:t>
            </w:r>
          </w:p>
        </w:tc>
        <w:tc>
          <w:tcPr>
            <w:tcW w:type="dxa" w:w="1587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技术负责人</w:t>
            </w:r>
          </w:p>
        </w:tc>
        <w:tc>
          <w:tcPr>
            <w:tcW w:type="dxa" w:w="2835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所有文档口径一致</w:t>
            </w:r>
          </w:p>
        </w:tc>
      </w:tr>
      <w:tr>
        <w:tc>
          <w:tcPr>
            <w:tcW w:type="dxa" w:w="850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r>
              <w:t>R0-6（完成）</w:t>
            </w:r>
          </w:p>
        </w:tc>
        <w:tc>
          <w:tcPr>
            <w:tcW w:type="dxa" w:w="1871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创建Tag与Release</w:t>
            </w:r>
          </w:p>
        </w:tc>
        <w:tc>
          <w:tcPr>
            <w:tcW w:type="dxa" w:w="2551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v0.2.0 Release</w:t>
            </w:r>
          </w:p>
        </w:tc>
        <w:tc>
          <w:tcPr>
            <w:tcW w:type="dxa" w:w="1587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技术负责人</w:t>
            </w:r>
          </w:p>
        </w:tc>
        <w:tc>
          <w:tcPr>
            <w:tcW w:type="dxa" w:w="2835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冻结SHA、已知限制和回退点</w:t>
            </w:r>
          </w:p>
        </w:tc>
      </w:tr>
      <w:tr>
        <w:tc>
          <w:tcPr>
            <w:tcW w:type="dxa" w:w="850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R0-7</w:t>
            </w:r>
          </w:p>
        </w:tc>
        <w:tc>
          <w:tcPr>
            <w:tcW w:type="dxa" w:w="187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版本复盘</w:t>
            </w:r>
          </w:p>
        </w:tc>
        <w:tc>
          <w:tcPr>
            <w:tcW w:type="dxa" w:w="255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v0.2复盘文档</w:t>
            </w:r>
          </w:p>
        </w:tc>
        <w:tc>
          <w:tcPr>
            <w:tcW w:type="dxa" w:w="1587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全组</w:t>
            </w:r>
          </w:p>
        </w:tc>
        <w:tc>
          <w:tcPr>
            <w:tcW w:type="dxa" w:w="2835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明确成功项、问题和v0.3输入</w:t>
            </w:r>
          </w:p>
        </w:tc>
      </w:tr>
    </w:tbl>
    <w:p>
      <w:pPr>
        <w:widowControl/>
        <w:spacing w:after="0"/>
      </w:pPr>
    </w:p>
    <w:p>
      <w:pPr>
        <w:pStyle w:val="Heading2"/>
        <w:keepNext/>
        <w:widowControl/>
        <w:spacing w:before="160" w:after="100" w:line="276" w:lineRule="auto"/>
      </w:pPr>
      <w:r>
        <w:t>3.1 建议Release名称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7F7F7"/>
            <w:tcBorders>
              <w:top w:val="single" w:sz="4" w:color="CFCFCF"/>
              <w:left w:val="single" w:sz="4" w:color="CFCFCF"/>
              <w:bottom w:val="single" w:sz="4" w:color="CFCFCF"/>
              <w:right w:val="single" w:sz="4" w:color="CFCFCF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widowControl/>
              <w:spacing w:after="0"/>
            </w:pPr>
            <w:r>
              <w:rPr>
                <w:rFonts w:ascii="Liberation Mono" w:hAnsi="Liberation Mono" w:eastAsia="Liberation Mono"/>
                <w:b w:val="0"/>
                <w:color w:val="222222"/>
                <w:sz w:val="18"/>
              </w:rPr>
              <w:t>v0.2.0-real-document-slice</w:t>
            </w:r>
          </w:p>
        </w:tc>
      </w:tr>
    </w:tbl>
    <w:p>
      <w:pPr>
        <w:widowControl/>
        <w:spacing w:after="0"/>
      </w:pPr>
    </w:p>
    <w:p>
      <w:pPr>
        <w:pStyle w:val="Heading2"/>
        <w:keepNext/>
        <w:widowControl/>
        <w:spacing w:before="160" w:after="100" w:line="276" w:lineRule="auto"/>
      </w:pPr>
      <w:r>
        <w:t>3.2 v0.2发布门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☑ 审核基线完整测试通过：284 passed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☑ 2410.HK真实E2E保持：706 chunks、Evidence第563/562页、现金跑道2.76个月、verified、90/critical</w:t>
      </w:r>
    </w:p>
    <w:p>
      <w:pPr>
        <w:pStyle w:val="ListBullet"/>
        <w:widowControl/>
        <w:spacing w:after="40"/>
        <w:ind w:left="283" w:hanging="142"/>
      </w:pPr>
      <w:r>
        <w:t>☑ 第二次独立证据复核完成（Codex执行，方法已披露）</w:t>
      </w:r>
    </w:p>
    <w:p>
      <w:pPr>
        <w:pStyle w:val="ListBullet"/>
        <w:widowControl/>
        <w:spacing w:after="40"/>
        <w:ind w:left="283" w:hanging="142"/>
      </w:pPr>
      <w:r>
        <w:t>☑ 远程main全新克隆与Python 3.12.10独立环境复跑完成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☑ README、ROADMAP、CHANGELOG和总清单已于本次同步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☑ 已记录证券主表截断、10份无行情、3份特殊证券和金额单位等限制</w:t>
      </w:r>
    </w:p>
    <w:p>
      <w:pPr>
        <w:pStyle w:val="ListBullet"/>
        <w:widowControl/>
        <w:spacing w:after="40"/>
        <w:ind w:left="283" w:hanging="142"/>
      </w:pPr>
      <w:r>
        <w:t>☑ Tag、Release Notes和回退SHA完成：916df5d</w:t>
      </w:r>
    </w:p>
    <w:p>
      <w:pPr>
        <w:widowControl/>
      </w:pPr>
      <w:r/>
    </w:p>
    <w:p>
      <w:pPr>
        <w:pStyle w:val="Heading1"/>
        <w:keepNext/>
        <w:pageBreakBefore w:val="0"/>
        <w:widowControl/>
        <w:spacing w:before="200" w:after="120" w:line="276" w:lineRule="auto"/>
      </w:pPr>
      <w:r>
        <w:t>4. v0.3.0总体设计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E2F0D9"/>
            <w:tcBorders>
              <w:top w:val="single" w:sz="8" w:color="2E7D32"/>
              <w:left w:val="single" w:sz="8" w:color="2E7D32"/>
              <w:bottom w:val="single" w:sz="8" w:color="2E7D32"/>
              <w:right w:val="single" w:sz="8" w:color="2E7D32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widowControl/>
              <w:spacing w:after="60"/>
            </w:pPr>
            <w:r>
              <w:rPr>
                <w:rFonts w:ascii="Noto Sans CJK SC" w:hAnsi="Noto Sans CJK SC" w:eastAsia="Noto Sans CJK SC"/>
                <w:b/>
                <w:color w:val="2E7D32"/>
                <w:sz w:val="21"/>
              </w:rPr>
              <w:t>版本名称</w:t>
            </w:r>
          </w:p>
          <w:p>
            <w:pPr>
              <w:widowControl/>
              <w:spacing w:before="0" w:after="0" w:line="276" w:lineRule="auto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20"/>
              </w:rPr>
              <w:t>v0.3.0-multi-agent-risk-analysis</w:t>
            </w:r>
          </w:p>
        </w:tc>
      </w:tr>
    </w:tbl>
    <w:p>
      <w:pPr>
        <w:widowControl/>
        <w:spacing w:after="0"/>
      </w:pPr>
    </w:p>
    <w:p>
      <w:pPr>
        <w:widowControl/>
        <w:spacing w:before="0" w:after="80" w:line="276" w:lineRule="auto"/>
      </w:pPr>
      <w:r>
        <w:rPr>
          <w:rFonts w:ascii="Noto Sans CJK SC" w:hAnsi="Noto Sans CJK SC" w:eastAsia="Noto Sans CJK SC"/>
          <w:b w:val="0"/>
          <w:color w:val="222222"/>
          <w:sz w:val="21"/>
        </w:rPr>
        <w:t>v0.3的唯一目标是：将当前单一现金跑道真实闭环，升级为Financial、Legal、Business三个真实Agent协同运行，并在5—10份真实招股书上完成可重复的多案例评测。</w:t>
      </w:r>
    </w:p>
    <w:p>
      <w:pPr>
        <w:pStyle w:val="Heading2"/>
        <w:keepNext/>
        <w:widowControl/>
        <w:spacing w:before="160" w:after="100" w:line="276" w:lineRule="auto"/>
      </w:pPr>
      <w:r>
        <w:t>4.1 最终运行流程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7F7F7"/>
            <w:tcBorders>
              <w:top w:val="single" w:sz="4" w:color="CFCFCF"/>
              <w:left w:val="single" w:sz="4" w:color="CFCFCF"/>
              <w:bottom w:val="single" w:sz="4" w:color="CFCFCF"/>
              <w:right w:val="single" w:sz="4" w:color="CFCFCF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widowControl/>
              <w:spacing w:after="0"/>
            </w:pPr>
            <w:r>
              <w:rPr>
                <w:rFonts w:ascii="Liberation Mono" w:hAnsi="Liberation Mono" w:eastAsia="Liberation Mono"/>
                <w:b w:val="0"/>
                <w:color w:val="222222"/>
                <w:sz w:val="18"/>
              </w:rPr>
              <w:t>PDF上传</w:t>
              <w:br/>
              <w:t xml:space="preserve">  ↓</w:t>
              <w:br/>
              <w:t>Parser：一次解析，生成带物理页码的DocumentChunk</w:t>
              <w:br/>
              <w:t xml:space="preserve">  ↓</w:t>
              <w:br/>
              <w:t>Retriever：按财务、法务、业务查询族寻找Evidence</w:t>
              <w:br/>
              <w:t xml:space="preserve">  ↓</w:t>
              <w:br/>
              <w:t>Financial / Legal / Business Agent：提取结构化事实</w:t>
              <w:br/>
              <w:t xml:space="preserve">  ↓</w:t>
              <w:br/>
              <w:t>Skills：完成精确计算</w:t>
              <w:br/>
              <w:t xml:space="preserve">  ↓</w:t>
              <w:br/>
              <w:t>RiskItem(pending)</w:t>
              <w:br/>
              <w:t xml:space="preserve">  ↓</w:t>
              <w:br/>
              <w:t>专用Verifier：verified / needs_review / rejected</w:t>
              <w:br/>
              <w:t xml:space="preserve">  ↓</w:t>
              <w:br/>
              <w:t>Supervisor：去重、冲突识别、组合风险和降级</w:t>
              <w:br/>
              <w:t xml:space="preserve">  ↓</w:t>
              <w:br/>
              <w:t>规则风险评分、报告、Repository和Streamlit展示</w:t>
            </w:r>
          </w:p>
        </w:tc>
      </w:tr>
    </w:tbl>
    <w:p>
      <w:pPr>
        <w:widowControl/>
        <w:spacing w:after="0"/>
      </w:pPr>
    </w:p>
    <w:p>
      <w:pPr>
        <w:pStyle w:val="Heading2"/>
        <w:keepNext/>
        <w:widowControl/>
        <w:spacing w:before="160" w:after="100" w:line="276" w:lineRule="auto"/>
      </w:pPr>
      <w:r>
        <w:t>4.2 v0.3明确不做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不训练Logistic、LightGBM或深度学习市场预测模型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不输出经过校准的真实下跌概率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不正式构造上市后1/5/20/60日标签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不实现完整Market Agent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不使用2025盲测集调规则、选特征或调参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不把565份PDF全部人工标注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不引入微服务、Kafka、Redis、Neo4j或Kubernetes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不让LLM完成精确财务计算或直接决定最终分数</w:t>
      </w:r>
    </w:p>
    <w:p>
      <w:pPr>
        <w:pStyle w:val="Heading1"/>
        <w:keepNext/>
        <w:pageBreakBefore w:val="0"/>
        <w:widowControl/>
        <w:spacing w:before="200" w:after="120" w:line="276" w:lineRule="auto"/>
      </w:pPr>
      <w:r>
        <w:t>5. v0.3正式风险目录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rPr>
          <w:tblHeader w:val="true"/>
        </w:trPr>
        <w:tc>
          <w:tcPr>
            <w:tcW w:type="dxa" w:w="624"/>
            <w:shd w:fill="183B5B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widowControl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序号</w:t>
            </w:r>
          </w:p>
        </w:tc>
        <w:tc>
          <w:tcPr>
            <w:tcW w:type="dxa" w:w="2041"/>
            <w:shd w:fill="183B5B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widowControl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风险代码</w:t>
            </w:r>
          </w:p>
        </w:tc>
        <w:tc>
          <w:tcPr>
            <w:tcW w:type="dxa" w:w="2268"/>
            <w:shd w:fill="183B5B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widowControl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风险名称</w:t>
            </w:r>
          </w:p>
        </w:tc>
        <w:tc>
          <w:tcPr>
            <w:tcW w:type="dxa" w:w="1701"/>
            <w:shd w:fill="183B5B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widowControl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Agent</w:t>
            </w:r>
          </w:p>
        </w:tc>
        <w:tc>
          <w:tcPr>
            <w:tcW w:type="dxa" w:w="2948"/>
            <w:shd w:fill="183B5B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widowControl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核心方法</w:t>
            </w:r>
          </w:p>
        </w:tc>
      </w:tr>
      <w:tr>
        <w:tc>
          <w:tcPr>
            <w:tcW w:type="dxa" w:w="624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1</w:t>
            </w:r>
          </w:p>
        </w:tc>
        <w:tc>
          <w:tcPr>
            <w:tcW w:type="dxa" w:w="204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cash_runway</w:t>
            </w:r>
          </w:p>
        </w:tc>
        <w:tc>
          <w:tcPr>
            <w:tcW w:type="dxa" w:w="2268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现金跑道不足</w:t>
            </w:r>
          </w:p>
        </w:tc>
        <w:tc>
          <w:tcPr>
            <w:tcW w:type="dxa" w:w="170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Financial</w:t>
            </w:r>
          </w:p>
        </w:tc>
        <w:tc>
          <w:tcPr>
            <w:tcW w:type="dxa" w:w="2948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v0.2已有，保持回归</w:t>
            </w:r>
          </w:p>
        </w:tc>
      </w:tr>
      <w:tr>
        <w:tc>
          <w:tcPr>
            <w:tcW w:type="dxa" w:w="624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2</w:t>
            </w:r>
          </w:p>
        </w:tc>
        <w:tc>
          <w:tcPr>
            <w:tcW w:type="dxa" w:w="2041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continuous_loss</w:t>
            </w:r>
          </w:p>
        </w:tc>
        <w:tc>
          <w:tcPr>
            <w:tcW w:type="dxa" w:w="2268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持续亏损</w:t>
            </w:r>
          </w:p>
        </w:tc>
        <w:tc>
          <w:tcPr>
            <w:tcW w:type="dxa" w:w="1701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Financial</w:t>
            </w:r>
          </w:p>
        </w:tc>
        <w:tc>
          <w:tcPr>
            <w:tcW w:type="dxa" w:w="2948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表格提取 + 亏损趋势Skill</w:t>
            </w:r>
          </w:p>
        </w:tc>
      </w:tr>
      <w:tr>
        <w:tc>
          <w:tcPr>
            <w:tcW w:type="dxa" w:w="624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3</w:t>
            </w:r>
          </w:p>
        </w:tc>
        <w:tc>
          <w:tcPr>
            <w:tcW w:type="dxa" w:w="204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revenue_growth</w:t>
            </w:r>
          </w:p>
        </w:tc>
        <w:tc>
          <w:tcPr>
            <w:tcW w:type="dxa" w:w="2268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收入增长异常或放缓</w:t>
            </w:r>
          </w:p>
        </w:tc>
        <w:tc>
          <w:tcPr>
            <w:tcW w:type="dxa" w:w="170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Financial</w:t>
            </w:r>
          </w:p>
        </w:tc>
        <w:tc>
          <w:tcPr>
            <w:tcW w:type="dxa" w:w="2948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期间对齐 + 增长率Skill</w:t>
            </w:r>
          </w:p>
        </w:tc>
      </w:tr>
      <w:tr>
        <w:tc>
          <w:tcPr>
            <w:tcW w:type="dxa" w:w="624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4</w:t>
            </w:r>
          </w:p>
        </w:tc>
        <w:tc>
          <w:tcPr>
            <w:tcW w:type="dxa" w:w="2041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customer_concentration</w:t>
            </w:r>
          </w:p>
        </w:tc>
        <w:tc>
          <w:tcPr>
            <w:tcW w:type="dxa" w:w="2268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客户集中度过高</w:t>
            </w:r>
          </w:p>
        </w:tc>
        <w:tc>
          <w:tcPr>
            <w:tcW w:type="dxa" w:w="1701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Financial / Business</w:t>
            </w:r>
          </w:p>
        </w:tc>
        <w:tc>
          <w:tcPr>
            <w:tcW w:type="dxa" w:w="2948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占比提取 + 规则</w:t>
            </w:r>
          </w:p>
        </w:tc>
      </w:tr>
      <w:tr>
        <w:tc>
          <w:tcPr>
            <w:tcW w:type="dxa" w:w="624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5</w:t>
            </w:r>
          </w:p>
        </w:tc>
        <w:tc>
          <w:tcPr>
            <w:tcW w:type="dxa" w:w="204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supplier_concentration</w:t>
            </w:r>
          </w:p>
        </w:tc>
        <w:tc>
          <w:tcPr>
            <w:tcW w:type="dxa" w:w="2268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供应商集中度过高</w:t>
            </w:r>
          </w:p>
        </w:tc>
        <w:tc>
          <w:tcPr>
            <w:tcW w:type="dxa" w:w="170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Financial / Business</w:t>
            </w:r>
          </w:p>
        </w:tc>
        <w:tc>
          <w:tcPr>
            <w:tcW w:type="dxa" w:w="2948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占比提取 + 规则</w:t>
            </w:r>
          </w:p>
        </w:tc>
      </w:tr>
      <w:tr>
        <w:tc>
          <w:tcPr>
            <w:tcW w:type="dxa" w:w="624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6</w:t>
            </w:r>
          </w:p>
        </w:tc>
        <w:tc>
          <w:tcPr>
            <w:tcW w:type="dxa" w:w="2041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redemption_rights</w:t>
            </w:r>
          </w:p>
        </w:tc>
        <w:tc>
          <w:tcPr>
            <w:tcW w:type="dxa" w:w="2268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赎回权及特殊股东权利</w:t>
            </w:r>
          </w:p>
        </w:tc>
        <w:tc>
          <w:tcPr>
            <w:tcW w:type="dxa" w:w="1701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Legal</w:t>
            </w:r>
          </w:p>
        </w:tc>
        <w:tc>
          <w:tcPr>
            <w:tcW w:type="dxa" w:w="2948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检索 + LLM候选提取 + 规则</w:t>
            </w:r>
          </w:p>
        </w:tc>
      </w:tr>
      <w:tr>
        <w:tc>
          <w:tcPr>
            <w:tcW w:type="dxa" w:w="624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7</w:t>
            </w:r>
          </w:p>
        </w:tc>
        <w:tc>
          <w:tcPr>
            <w:tcW w:type="dxa" w:w="204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material_litigation_compliance</w:t>
            </w:r>
          </w:p>
        </w:tc>
        <w:tc>
          <w:tcPr>
            <w:tcW w:type="dxa" w:w="2268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重大诉讼与合规</w:t>
            </w:r>
          </w:p>
        </w:tc>
        <w:tc>
          <w:tcPr>
            <w:tcW w:type="dxa" w:w="170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Legal</w:t>
            </w:r>
          </w:p>
        </w:tc>
        <w:tc>
          <w:tcPr>
            <w:tcW w:type="dxa" w:w="2948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语义提取 + 重大性与状态核验</w:t>
            </w:r>
          </w:p>
        </w:tc>
      </w:tr>
      <w:tr>
        <w:tc>
          <w:tcPr>
            <w:tcW w:type="dxa" w:w="624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8</w:t>
            </w:r>
          </w:p>
        </w:tc>
        <w:tc>
          <w:tcPr>
            <w:tcW w:type="dxa" w:w="2041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precommercial_product</w:t>
            </w:r>
          </w:p>
        </w:tc>
        <w:tc>
          <w:tcPr>
            <w:tcW w:type="dxa" w:w="2268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未商业化及核心产品依赖</w:t>
            </w:r>
          </w:p>
        </w:tc>
        <w:tc>
          <w:tcPr>
            <w:tcW w:type="dxa" w:w="1701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Business</w:t>
            </w:r>
          </w:p>
        </w:tc>
        <w:tc>
          <w:tcPr>
            <w:tcW w:type="dxa" w:w="2948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业务事实提取 + 规则</w:t>
            </w:r>
          </w:p>
        </w:tc>
      </w:tr>
    </w:tbl>
    <w:p>
      <w:pPr>
        <w:widowControl/>
        <w:spacing w:after="0"/>
      </w:pPr>
    </w:p>
    <w:p>
      <w:pPr>
        <w:pStyle w:val="Heading2"/>
        <w:keepNext/>
        <w:widowControl/>
        <w:spacing w:before="160" w:after="100" w:line="276" w:lineRule="auto"/>
      </w:pPr>
      <w:r>
        <w:t>5.1 RiskItem统一要求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所有正式风险必须具有Evidence，包含物理页码和原文。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涉及数字的风险必须具有Calculation，记录输入、公式、结果、单位和Evidence ID。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Agent生成的候选风险初始状态为pending，不能自我宣布verified。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Verifier决定verified、needs_review或rejected。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无证据、计算失败、币种/单位/期间冲突的风险不得进入正式评分。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规则型或条款型风险可不包含Calculation，但必须有足够Evidence。</w:t>
      </w:r>
    </w:p>
    <w:p>
      <w:pPr>
        <w:widowControl/>
      </w:pPr>
      <w:r/>
    </w:p>
    <w:p>
      <w:pPr>
        <w:pStyle w:val="Heading1"/>
        <w:keepNext/>
        <w:pageBreakBefore w:val="0"/>
        <w:widowControl/>
        <w:spacing w:before="200" w:after="120" w:line="276" w:lineRule="auto"/>
      </w:pPr>
      <w:r>
        <w:t>6. v0.3分棒任务清单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rPr>
          <w:tblHeader w:val="true"/>
        </w:trPr>
        <w:tc>
          <w:tcPr>
            <w:tcW w:type="dxa" w:w="794"/>
            <w:shd w:fill="183B5B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widowControl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棒次</w:t>
            </w:r>
          </w:p>
        </w:tc>
        <w:tc>
          <w:tcPr>
            <w:tcW w:type="dxa" w:w="1814"/>
            <w:shd w:fill="183B5B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widowControl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唯一任务</w:t>
            </w:r>
          </w:p>
        </w:tc>
        <w:tc>
          <w:tcPr>
            <w:tcW w:type="dxa" w:w="3798"/>
            <w:shd w:fill="183B5B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widowControl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主要输出</w:t>
            </w:r>
          </w:p>
        </w:tc>
        <w:tc>
          <w:tcPr>
            <w:tcW w:type="dxa" w:w="1531"/>
            <w:shd w:fill="183B5B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widowControl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负责人</w:t>
            </w:r>
          </w:p>
        </w:tc>
        <w:tc>
          <w:tcPr>
            <w:tcW w:type="dxa" w:w="2381"/>
            <w:shd w:fill="183B5B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widowControl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验收重点</w:t>
            </w:r>
          </w:p>
        </w:tc>
      </w:tr>
      <w:tr>
        <w:tc>
          <w:tcPr>
            <w:tcW w:type="dxa" w:w="794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V3-0（本次完成）</w:t>
            </w:r>
          </w:p>
        </w:tc>
        <w:tc>
          <w:tcPr>
            <w:tcW w:type="dxa" w:w="1814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冻结v0.3范围与文档</w:t>
            </w:r>
          </w:p>
        </w:tc>
        <w:tc>
          <w:tcPr>
            <w:tcW w:type="dxa" w:w="3798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以本文件替换旧版总清单，并同步README、ROADMAP和CHANGELOG；冻结风险目录、接力顺序和退出门槛。</w:t>
            </w:r>
          </w:p>
        </w:tc>
        <w:tc>
          <w:tcPr>
            <w:tcW w:type="dxa" w:w="153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技术负责人</w:t>
            </w:r>
          </w:p>
        </w:tc>
        <w:tc>
          <w:tcPr>
            <w:tcW w:type="dxa" w:w="238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只改文档，不改业务代码和公共Schema。</w:t>
            </w:r>
          </w:p>
        </w:tc>
      </w:tr>
      <w:tr>
        <w:tc>
          <w:tcPr>
            <w:tcW w:type="dxa" w:w="794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V3-1</w:t>
            </w:r>
          </w:p>
        </w:tc>
        <w:tc>
          <w:tcPr>
            <w:tcW w:type="dxa" w:w="1814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黄金案例与标注规范</w:t>
            </w:r>
          </w:p>
        </w:tc>
        <w:tc>
          <w:tcPr>
            <w:tcW w:type="dxa" w:w="3798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选择5—10份真实招股书，建立风险适用性、主证据页、原文、数值、单位、期间和标准核验状态。</w:t>
            </w:r>
          </w:p>
        </w:tc>
        <w:tc>
          <w:tcPr>
            <w:tcW w:type="dxa" w:w="1531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财务/法务/业务</w:t>
            </w:r>
          </w:p>
        </w:tc>
        <w:tc>
          <w:tcPr>
            <w:tcW w:type="dxa" w:w="2381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每类风险至少一个正例，关键案例双人复核，2025盲测不得进入。</w:t>
            </w:r>
          </w:p>
        </w:tc>
      </w:tr>
      <w:tr>
        <w:tc>
          <w:tcPr>
            <w:tcW w:type="dxa" w:w="794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V3-2</w:t>
            </w:r>
          </w:p>
        </w:tc>
        <w:tc>
          <w:tcPr>
            <w:tcW w:type="dxa" w:w="1814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IPO基础信息Provider</w:t>
            </w:r>
          </w:p>
        </w:tc>
        <w:tc>
          <w:tcPr>
            <w:tcW w:type="dxa" w:w="3798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从官方主数据桥接生成IPOProfile，处理匹配、占位、代码复用和特殊证券。</w:t>
            </w:r>
          </w:p>
        </w:tc>
        <w:tc>
          <w:tcPr>
            <w:tcW w:type="dxa" w:w="153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技术备份/数据</w:t>
            </w:r>
          </w:p>
        </w:tc>
        <w:tc>
          <w:tcPr>
            <w:tcW w:type="dxa" w:w="238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562个匹配案例稳定加载，缺失案例结构化降级。</w:t>
            </w:r>
          </w:p>
        </w:tc>
      </w:tr>
      <w:tr>
        <w:tc>
          <w:tcPr>
            <w:tcW w:type="dxa" w:w="794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V3-3</w:t>
            </w:r>
          </w:p>
        </w:tc>
        <w:tc>
          <w:tcPr>
            <w:tcW w:type="dxa" w:w="1814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Retriever查询族泛化</w:t>
            </w:r>
          </w:p>
        </w:tc>
        <w:tc>
          <w:tcPr>
            <w:tcW w:type="dxa" w:w="3798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增加收入、亏损、客户、供应商、特殊权利、诉讼、商业化和核心管线等查询族。</w:t>
            </w:r>
          </w:p>
        </w:tc>
        <w:tc>
          <w:tcPr>
            <w:tcW w:type="dxa" w:w="1531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技术负责人</w:t>
            </w:r>
          </w:p>
        </w:tc>
        <w:tc>
          <w:tcPr>
            <w:tcW w:type="dxa" w:w="2381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接口不变，支持简繁英、章节权重、稳定Evidence ID和无匹配空结果。</w:t>
            </w:r>
          </w:p>
        </w:tc>
      </w:tr>
      <w:tr>
        <w:tc>
          <w:tcPr>
            <w:tcW w:type="dxa" w:w="794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V3-4</w:t>
            </w:r>
          </w:p>
        </w:tc>
        <w:tc>
          <w:tcPr>
            <w:tcW w:type="dxa" w:w="1814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可替换LLMProvider</w:t>
            </w:r>
          </w:p>
        </w:tc>
        <w:tc>
          <w:tcPr>
            <w:tcW w:type="dxa" w:w="3798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建立Mock、真实和Unavailable Provider；只处理Retriever筛选后的少量Evidence。</w:t>
            </w:r>
          </w:p>
        </w:tc>
        <w:tc>
          <w:tcPr>
            <w:tcW w:type="dxa" w:w="153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技术负责人</w:t>
            </w:r>
          </w:p>
        </w:tc>
        <w:tc>
          <w:tcPr>
            <w:tcW w:type="dxa" w:w="238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输出Pydantic结构化事实，无API Key时确定性链路仍可运行。</w:t>
            </w:r>
          </w:p>
        </w:tc>
      </w:tr>
      <w:tr>
        <w:tc>
          <w:tcPr>
            <w:tcW w:type="dxa" w:w="794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V3-5</w:t>
            </w:r>
          </w:p>
        </w:tc>
        <w:tc>
          <w:tcPr>
            <w:tcW w:type="dxa" w:w="1814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Financial Agent扩展</w:t>
            </w:r>
          </w:p>
        </w:tc>
        <w:tc>
          <w:tcPr>
            <w:tcW w:type="dxa" w:w="3798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持续亏损、收入增长、客户集中度、供应商集中度及相关Skills。</w:t>
            </w:r>
          </w:p>
        </w:tc>
        <w:tc>
          <w:tcPr>
            <w:tcW w:type="dxa" w:w="1531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财务成员</w:t>
            </w:r>
          </w:p>
        </w:tc>
        <w:tc>
          <w:tcPr>
            <w:tcW w:type="dxa" w:w="2381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Decimal、单位、期间严格一致；不破坏2410.HK回归。</w:t>
            </w:r>
          </w:p>
        </w:tc>
      </w:tr>
      <w:tr>
        <w:tc>
          <w:tcPr>
            <w:tcW w:type="dxa" w:w="794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V3-6</w:t>
            </w:r>
          </w:p>
        </w:tc>
        <w:tc>
          <w:tcPr>
            <w:tcW w:type="dxa" w:w="1814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Legal Agent真实化</w:t>
            </w:r>
          </w:p>
        </w:tc>
        <w:tc>
          <w:tcPr>
            <w:tcW w:type="dxa" w:w="3798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特殊股东权利、重大诉讼和合规事项。</w:t>
            </w:r>
          </w:p>
        </w:tc>
        <w:tc>
          <w:tcPr>
            <w:tcW w:type="dxa" w:w="153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法务成员</w:t>
            </w:r>
          </w:p>
        </w:tc>
        <w:tc>
          <w:tcPr>
            <w:tcW w:type="dxa" w:w="238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识别权利是否有效、是否终止、是否恢复；防止模板化章节误报。</w:t>
            </w:r>
          </w:p>
        </w:tc>
      </w:tr>
      <w:tr>
        <w:tc>
          <w:tcPr>
            <w:tcW w:type="dxa" w:w="794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V3-7</w:t>
            </w:r>
          </w:p>
        </w:tc>
        <w:tc>
          <w:tcPr>
            <w:tcW w:type="dxa" w:w="1814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Business Agent真实化</w:t>
            </w:r>
          </w:p>
        </w:tc>
        <w:tc>
          <w:tcPr>
            <w:tcW w:type="dxa" w:w="3798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未商业化、核心产品和管线依赖。</w:t>
            </w:r>
          </w:p>
        </w:tc>
        <w:tc>
          <w:tcPr>
            <w:tcW w:type="dxa" w:w="1531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业务成员</w:t>
            </w:r>
          </w:p>
        </w:tc>
        <w:tc>
          <w:tcPr>
            <w:tcW w:type="dxa" w:w="2381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区分产品销售收入、授权收入和研发服务收入。</w:t>
            </w:r>
          </w:p>
        </w:tc>
      </w:tr>
      <w:tr>
        <w:tc>
          <w:tcPr>
            <w:tcW w:type="dxa" w:w="794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V3-8</w:t>
            </w:r>
          </w:p>
        </w:tc>
        <w:tc>
          <w:tcPr>
            <w:tcW w:type="dxa" w:w="1814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专用Verifier体系</w:t>
            </w:r>
          </w:p>
        </w:tc>
        <w:tc>
          <w:tcPr>
            <w:tcW w:type="dxa" w:w="3798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财务趋势、集中度、法律权利、诉讼合规、业务管线及整体一致性核验。</w:t>
            </w:r>
          </w:p>
        </w:tc>
        <w:tc>
          <w:tcPr>
            <w:tcW w:type="dxa" w:w="153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技术负责人+专业成员</w:t>
            </w:r>
          </w:p>
        </w:tc>
        <w:tc>
          <w:tcPr>
            <w:tcW w:type="dxa" w:w="238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错误结论可被拒绝，歧义进入needs_review。</w:t>
            </w:r>
          </w:p>
        </w:tc>
      </w:tr>
      <w:tr>
        <w:tc>
          <w:tcPr>
            <w:tcW w:type="dxa" w:w="794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V3-9</w:t>
            </w:r>
          </w:p>
        </w:tc>
        <w:tc>
          <w:tcPr>
            <w:tcW w:type="dxa" w:w="1814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Supervisor与enhanced_v2</w:t>
            </w:r>
          </w:p>
        </w:tc>
        <w:tc>
          <w:tcPr>
            <w:tcW w:type="dxa" w:w="3798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多Agent去重、冲突识别、组合风险、单Agent失败降级和新工作流。</w:t>
            </w:r>
          </w:p>
        </w:tc>
        <w:tc>
          <w:tcPr>
            <w:tcW w:type="dxa" w:w="1531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技术负责人</w:t>
            </w:r>
          </w:p>
        </w:tc>
        <w:tc>
          <w:tcPr>
            <w:tcW w:type="dxa" w:w="2381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保留mvp_v1；单个Agent失败时整体返回partial。</w:t>
            </w:r>
          </w:p>
        </w:tc>
      </w:tr>
      <w:tr>
        <w:tc>
          <w:tcPr>
            <w:tcW w:type="dxa" w:w="794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V3-10</w:t>
            </w:r>
          </w:p>
        </w:tc>
        <w:tc>
          <w:tcPr>
            <w:tcW w:type="dxa" w:w="1814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批量运行与评测</w:t>
            </w:r>
          </w:p>
        </w:tc>
        <w:tc>
          <w:tcPr>
            <w:tcW w:type="dxa" w:w="3798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批量分析脚本、黄金案例评测、断点续跑、失败报告和指标JSON。</w:t>
            </w:r>
          </w:p>
        </w:tc>
        <w:tc>
          <w:tcPr>
            <w:tcW w:type="dxa" w:w="153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技术备份/数据</w:t>
            </w:r>
          </w:p>
        </w:tc>
        <w:tc>
          <w:tcPr>
            <w:tcW w:type="dxa" w:w="238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默认禁止2025盲测；单案例失败不终止批次。</w:t>
            </w:r>
          </w:p>
        </w:tc>
      </w:tr>
      <w:tr>
        <w:tc>
          <w:tcPr>
            <w:tcW w:type="dxa" w:w="794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V3-11</w:t>
            </w:r>
          </w:p>
        </w:tc>
        <w:tc>
          <w:tcPr>
            <w:tcW w:type="dxa" w:w="1814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Streamlit与报告</w:t>
            </w:r>
          </w:p>
        </w:tc>
        <w:tc>
          <w:tcPr>
            <w:tcW w:type="dxa" w:w="3798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三Agent页签、Evidence、Calculation、核验状态、诊断和规则分构成。</w:t>
            </w:r>
          </w:p>
        </w:tc>
        <w:tc>
          <w:tcPr>
            <w:tcW w:type="dxa" w:w="1531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业务/产品+技术</w:t>
            </w:r>
          </w:p>
        </w:tc>
        <w:tc>
          <w:tcPr>
            <w:tcW w:type="dxa" w:w="2381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前端只调用IPOAnalysisService，不直接调用Agent或LLM。</w:t>
            </w:r>
          </w:p>
        </w:tc>
      </w:tr>
      <w:tr>
        <w:tc>
          <w:tcPr>
            <w:tcW w:type="dxa" w:w="794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V3-12</w:t>
            </w:r>
          </w:p>
        </w:tc>
        <w:tc>
          <w:tcPr>
            <w:tcW w:type="dxa" w:w="1814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发布加固</w:t>
            </w:r>
          </w:p>
        </w:tc>
        <w:tc>
          <w:tcPr>
            <w:tcW w:type="dxa" w:w="3798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完整测试、独立复跑、文档同步、Tag和Release。</w:t>
            </w:r>
          </w:p>
        </w:tc>
        <w:tc>
          <w:tcPr>
            <w:tcW w:type="dxa" w:w="153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全组</w:t>
            </w:r>
          </w:p>
        </w:tc>
        <w:tc>
          <w:tcPr>
            <w:tcW w:type="dxa" w:w="238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黄金案例100%运行、v0.2回归不变、无非预期崩溃。</w:t>
            </w:r>
          </w:p>
        </w:tc>
      </w:tr>
    </w:tbl>
    <w:p>
      <w:pPr>
        <w:widowControl/>
        <w:spacing w:after="0"/>
      </w:pPr>
    </w:p>
    <w:p>
      <w:pPr>
        <w:pStyle w:val="Heading1"/>
        <w:keepNext/>
        <w:pageBreakBefore w:val="0"/>
        <w:widowControl/>
        <w:spacing w:before="200" w:after="120" w:line="276" w:lineRule="auto"/>
      </w:pPr>
      <w:r>
        <w:t>7. 黄金案例与人工标注计划</w:t>
      </w:r>
    </w:p>
    <w:p>
      <w:pPr>
        <w:pStyle w:val="Heading2"/>
        <w:keepNext/>
        <w:widowControl/>
        <w:spacing w:before="160" w:after="100" w:line="276" w:lineRule="auto"/>
      </w:pPr>
      <w:r>
        <w:t>7.1 推荐案例构成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</w:trPr>
        <w:tc>
          <w:tcPr>
            <w:tcW w:type="dxa" w:w="2835"/>
            <w:shd w:fill="183B5B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widowControl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案例类型</w:t>
            </w:r>
          </w:p>
        </w:tc>
        <w:tc>
          <w:tcPr>
            <w:tcW w:type="dxa" w:w="1417"/>
            <w:shd w:fill="183B5B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widowControl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建议数量</w:t>
            </w:r>
          </w:p>
        </w:tc>
        <w:tc>
          <w:tcPr>
            <w:tcW w:type="dxa" w:w="5386"/>
            <w:shd w:fill="183B5B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widowControl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主要覆盖风险</w:t>
            </w:r>
          </w:p>
        </w:tc>
      </w:tr>
      <w:tr>
        <w:tc>
          <w:tcPr>
            <w:tcW w:type="dxa" w:w="2835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8"/>
              </w:rPr>
              <w:t>18A未商业化生物科技</w:t>
            </w:r>
          </w:p>
        </w:tc>
        <w:tc>
          <w:tcPr>
            <w:tcW w:type="dxa" w:w="1417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8"/>
              </w:rPr>
              <w:t>2</w:t>
            </w:r>
          </w:p>
        </w:tc>
        <w:tc>
          <w:tcPr>
            <w:tcW w:type="dxa" w:w="5386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8"/>
              </w:rPr>
              <w:t>未商业化、核心管线、持续亏损、现金跑道</w:t>
            </w:r>
          </w:p>
        </w:tc>
      </w:tr>
      <w:tr>
        <w:tc>
          <w:tcPr>
            <w:tcW w:type="dxa" w:w="2835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8"/>
              </w:rPr>
              <w:t>持续亏损但已有收入公司</w:t>
            </w:r>
          </w:p>
        </w:tc>
        <w:tc>
          <w:tcPr>
            <w:tcW w:type="dxa" w:w="1417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8"/>
              </w:rPr>
              <w:t>1—2</w:t>
            </w:r>
          </w:p>
        </w:tc>
        <w:tc>
          <w:tcPr>
            <w:tcW w:type="dxa" w:w="5386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8"/>
              </w:rPr>
              <w:t>持续亏损、收入增长、现金消耗</w:t>
            </w:r>
          </w:p>
        </w:tc>
      </w:tr>
      <w:tr>
        <w:tc>
          <w:tcPr>
            <w:tcW w:type="dxa" w:w="2835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8"/>
              </w:rPr>
              <w:t>高客户集中度公司</w:t>
            </w:r>
          </w:p>
        </w:tc>
        <w:tc>
          <w:tcPr>
            <w:tcW w:type="dxa" w:w="1417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8"/>
              </w:rPr>
              <w:t>1</w:t>
            </w:r>
          </w:p>
        </w:tc>
        <w:tc>
          <w:tcPr>
            <w:tcW w:type="dxa" w:w="5386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8"/>
              </w:rPr>
              <w:t>客户集中度、业务依赖</w:t>
            </w:r>
          </w:p>
        </w:tc>
      </w:tr>
      <w:tr>
        <w:tc>
          <w:tcPr>
            <w:tcW w:type="dxa" w:w="2835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8"/>
              </w:rPr>
              <w:t>高供应商集中度公司</w:t>
            </w:r>
          </w:p>
        </w:tc>
        <w:tc>
          <w:tcPr>
            <w:tcW w:type="dxa" w:w="1417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8"/>
              </w:rPr>
              <w:t>1</w:t>
            </w:r>
          </w:p>
        </w:tc>
        <w:tc>
          <w:tcPr>
            <w:tcW w:type="dxa" w:w="5386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8"/>
              </w:rPr>
              <w:t>供应商集中度、经营稳定性</w:t>
            </w:r>
          </w:p>
        </w:tc>
      </w:tr>
      <w:tr>
        <w:tc>
          <w:tcPr>
            <w:tcW w:type="dxa" w:w="2835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8"/>
              </w:rPr>
              <w:t>特殊股东权利案例</w:t>
            </w:r>
          </w:p>
        </w:tc>
        <w:tc>
          <w:tcPr>
            <w:tcW w:type="dxa" w:w="1417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8"/>
              </w:rPr>
              <w:t>1</w:t>
            </w:r>
          </w:p>
        </w:tc>
        <w:tc>
          <w:tcPr>
            <w:tcW w:type="dxa" w:w="5386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8"/>
              </w:rPr>
              <w:t>赎回权、清算优先权、反摊薄等</w:t>
            </w:r>
          </w:p>
        </w:tc>
      </w:tr>
      <w:tr>
        <w:tc>
          <w:tcPr>
            <w:tcW w:type="dxa" w:w="2835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8"/>
              </w:rPr>
              <w:t>重大诉讼或合规案例</w:t>
            </w:r>
          </w:p>
        </w:tc>
        <w:tc>
          <w:tcPr>
            <w:tcW w:type="dxa" w:w="1417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8"/>
              </w:rPr>
              <w:t>1</w:t>
            </w:r>
          </w:p>
        </w:tc>
        <w:tc>
          <w:tcPr>
            <w:tcW w:type="dxa" w:w="5386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8"/>
              </w:rPr>
              <w:t>诉讼、处罚、牌照或整改状态</w:t>
            </w:r>
          </w:p>
        </w:tc>
      </w:tr>
      <w:tr>
        <w:tc>
          <w:tcPr>
            <w:tcW w:type="dxa" w:w="2835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8"/>
              </w:rPr>
              <w:t>相对低风险对照案例</w:t>
            </w:r>
          </w:p>
        </w:tc>
        <w:tc>
          <w:tcPr>
            <w:tcW w:type="dxa" w:w="1417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8"/>
              </w:rPr>
              <w:t>1—2</w:t>
            </w:r>
          </w:p>
        </w:tc>
        <w:tc>
          <w:tcPr>
            <w:tcW w:type="dxa" w:w="5386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8"/>
              </w:rPr>
              <w:t>负例、误报控制</w:t>
            </w:r>
          </w:p>
        </w:tc>
      </w:tr>
    </w:tbl>
    <w:p>
      <w:pPr>
        <w:widowControl/>
        <w:spacing w:after="0"/>
      </w:pPr>
    </w:p>
    <w:p>
      <w:pPr>
        <w:pStyle w:val="Heading2"/>
        <w:keepNext/>
        <w:widowControl/>
        <w:spacing w:before="160" w:after="100" w:line="276" w:lineRule="auto"/>
      </w:pPr>
      <w:r>
        <w:t>7.2 每条金标准必须包含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case_id和股票代码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risk_code及是否适用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标准风险等级或不适用原因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物理PDF页码和章节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支持原文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金额、比例、币种和单位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报告期与期间长度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标准Calculation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标准verification_status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第一标注人、第二复核人和分歧记录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FF2CC"/>
            <w:tcBorders>
              <w:top w:val="single" w:sz="8" w:color="C65911"/>
              <w:left w:val="single" w:sz="8" w:color="C65911"/>
              <w:bottom w:val="single" w:sz="8" w:color="C65911"/>
              <w:right w:val="single" w:sz="8" w:color="C65911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widowControl/>
              <w:spacing w:after="60"/>
            </w:pPr>
            <w:r>
              <w:rPr>
                <w:rFonts w:ascii="Noto Sans CJK SC" w:hAnsi="Noto Sans CJK SC" w:eastAsia="Noto Sans CJK SC"/>
                <w:b/>
                <w:color w:val="C65911"/>
                <w:sz w:val="21"/>
              </w:rPr>
              <w:t>重要原则</w:t>
            </w:r>
          </w:p>
          <w:p>
            <w:pPr>
              <w:widowControl/>
              <w:spacing w:before="0" w:after="0" w:line="276" w:lineRule="auto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20"/>
              </w:rPr>
              <w:t>“没有找到证据”不等于“风险不存在”。黄金案例必须区分 not_applicable、evidence_not_found、extraction_failed、conflicting_values、needs_review 和 component_failure。</w:t>
            </w:r>
          </w:p>
        </w:tc>
      </w:tr>
    </w:tbl>
    <w:p>
      <w:pPr>
        <w:widowControl/>
        <w:spacing w:after="0"/>
      </w:pPr>
    </w:p>
    <w:p>
      <w:pPr>
        <w:pStyle w:val="Heading1"/>
        <w:keepNext/>
        <w:pageBreakBefore w:val="0"/>
        <w:widowControl/>
        <w:spacing w:before="200" w:after="120" w:line="276" w:lineRule="auto"/>
      </w:pPr>
      <w:r>
        <w:t>8. 三类真实Agent的实现边界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1474"/>
            <w:shd w:fill="183B5B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widowControl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Agent</w:t>
            </w:r>
          </w:p>
        </w:tc>
        <w:tc>
          <w:tcPr>
            <w:tcW w:type="dxa" w:w="2835"/>
            <w:shd w:fill="183B5B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widowControl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主要职责</w:t>
            </w:r>
          </w:p>
        </w:tc>
        <w:tc>
          <w:tcPr>
            <w:tcW w:type="dxa" w:w="3175"/>
            <w:shd w:fill="183B5B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widowControl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优先实现方式</w:t>
            </w:r>
          </w:p>
        </w:tc>
        <w:tc>
          <w:tcPr>
            <w:tcW w:type="dxa" w:w="2438"/>
            <w:shd w:fill="183B5B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widowControl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禁止事项</w:t>
            </w:r>
          </w:p>
        </w:tc>
      </w:tr>
      <w:tr>
        <w:tc>
          <w:tcPr>
            <w:tcW w:type="dxa" w:w="1474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Financial</w:t>
            </w:r>
          </w:p>
        </w:tc>
        <w:tc>
          <w:tcPr>
            <w:tcW w:type="dxa" w:w="2835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现金、亏损、收入、客户和供应商集中度</w:t>
            </w:r>
          </w:p>
        </w:tc>
        <w:tc>
          <w:tcPr>
            <w:tcW w:type="dxa" w:w="3175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规则、表格解析、Decimal Skill为主</w:t>
            </w:r>
          </w:p>
        </w:tc>
        <w:tc>
          <w:tcPr>
            <w:tcW w:type="dxa" w:w="2438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不得用LLM做精确计算</w:t>
            </w:r>
          </w:p>
        </w:tc>
      </w:tr>
      <w:tr>
        <w:tc>
          <w:tcPr>
            <w:tcW w:type="dxa" w:w="1474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Legal</w:t>
            </w:r>
          </w:p>
        </w:tc>
        <w:tc>
          <w:tcPr>
            <w:tcW w:type="dxa" w:w="2835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特殊股东权利、诉讼、处罚和合规</w:t>
            </w:r>
          </w:p>
        </w:tc>
        <w:tc>
          <w:tcPr>
            <w:tcW w:type="dxa" w:w="3175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关键词检索 + LLM结构化提取 + 规则核验</w:t>
            </w:r>
          </w:p>
        </w:tc>
        <w:tc>
          <w:tcPr>
            <w:tcW w:type="dxa" w:w="2438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不得仅凭章节标题判风险</w:t>
            </w:r>
          </w:p>
        </w:tc>
      </w:tr>
      <w:tr>
        <w:tc>
          <w:tcPr>
            <w:tcW w:type="dxa" w:w="1474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Business</w:t>
            </w:r>
          </w:p>
        </w:tc>
        <w:tc>
          <w:tcPr>
            <w:tcW w:type="dxa" w:w="2835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商业化状态、产品、管线和合作依赖</w:t>
            </w:r>
          </w:p>
        </w:tc>
        <w:tc>
          <w:tcPr>
            <w:tcW w:type="dxa" w:w="3175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规则/LLM混合提取 + 业务规则</w:t>
            </w:r>
          </w:p>
        </w:tc>
        <w:tc>
          <w:tcPr>
            <w:tcW w:type="dxa" w:w="2438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不得重复计算财务指标</w:t>
            </w:r>
          </w:p>
        </w:tc>
      </w:tr>
      <w:tr>
        <w:tc>
          <w:tcPr>
            <w:tcW w:type="dxa" w:w="1474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Verifier</w:t>
            </w:r>
          </w:p>
        </w:tc>
        <w:tc>
          <w:tcPr>
            <w:tcW w:type="dxa" w:w="2835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检查证据、数值、条款状态和结论</w:t>
            </w:r>
          </w:p>
        </w:tc>
        <w:tc>
          <w:tcPr>
            <w:tcW w:type="dxa" w:w="3175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确定性规则为主</w:t>
            </w:r>
          </w:p>
        </w:tc>
        <w:tc>
          <w:tcPr>
            <w:tcW w:type="dxa" w:w="2438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不得放过无证据正式风险</w:t>
            </w:r>
          </w:p>
        </w:tc>
      </w:tr>
      <w:tr>
        <w:tc>
          <w:tcPr>
            <w:tcW w:type="dxa" w:w="1474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Supervisor</w:t>
            </w:r>
          </w:p>
        </w:tc>
        <w:tc>
          <w:tcPr>
            <w:tcW w:type="dxa" w:w="2835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去重、冲突、组合摘要和失败降级</w:t>
            </w:r>
          </w:p>
        </w:tc>
        <w:tc>
          <w:tcPr>
            <w:tcW w:type="dxa" w:w="3175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确定性规则，LLM仅可选摘要</w:t>
            </w:r>
          </w:p>
        </w:tc>
        <w:tc>
          <w:tcPr>
            <w:tcW w:type="dxa" w:w="2438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不得创造新事实或新证据</w:t>
            </w:r>
          </w:p>
        </w:tc>
      </w:tr>
    </w:tbl>
    <w:p>
      <w:pPr>
        <w:widowControl/>
        <w:spacing w:after="0"/>
      </w:pPr>
    </w:p>
    <w:p>
      <w:pPr>
        <w:pStyle w:val="Heading2"/>
        <w:keepNext/>
        <w:widowControl/>
        <w:spacing w:before="160" w:after="100" w:line="276" w:lineRule="auto"/>
      </w:pPr>
      <w:r>
        <w:t>8.1 LLM在v0.3中的正确位置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7F7F7"/>
            <w:tcBorders>
              <w:top w:val="single" w:sz="4" w:color="CFCFCF"/>
              <w:left w:val="single" w:sz="4" w:color="CFCFCF"/>
              <w:bottom w:val="single" w:sz="4" w:color="CFCFCF"/>
              <w:right w:val="single" w:sz="4" w:color="CFCFCF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widowControl/>
              <w:spacing w:after="0"/>
            </w:pPr>
            <w:r>
              <w:rPr>
                <w:rFonts w:ascii="Liberation Mono" w:hAnsi="Liberation Mono" w:eastAsia="Liberation Mono"/>
                <w:b w:val="0"/>
                <w:color w:val="222222"/>
                <w:sz w:val="18"/>
              </w:rPr>
              <w:t>Retriever选出5—10段相关Evidence</w:t>
              <w:br/>
              <w:t xml:space="preserve">  ↓</w:t>
              <w:br/>
              <w:t>LLM只提取结构化候选事实</w:t>
              <w:br/>
              <w:t xml:space="preserve">  ↓</w:t>
              <w:br/>
              <w:t>Pydantic校验</w:t>
              <w:br/>
              <w:t xml:space="preserve">  ↓</w:t>
              <w:br/>
              <w:t>Python Skill / 规则判断</w:t>
              <w:br/>
              <w:t xml:space="preserve">  ↓</w:t>
              <w:br/>
              <w:t>Verifier核验</w:t>
              <w:br/>
              <w:t xml:space="preserve">  ↓</w:t>
              <w:br/>
              <w:t>正式RiskItem</w:t>
            </w:r>
          </w:p>
        </w:tc>
      </w:tr>
    </w:tbl>
    <w:p>
      <w:pPr>
        <w:widowControl/>
        <w:spacing w:after="0"/>
      </w:pPr>
    </w:p>
    <w:p>
      <w:pPr>
        <w:widowControl/>
        <w:spacing w:before="0" w:after="80" w:line="276" w:lineRule="auto"/>
      </w:pPr>
      <w:r>
        <w:rPr>
          <w:rFonts w:ascii="Noto Sans CJK SC" w:hAnsi="Noto Sans CJK SC" w:eastAsia="Noto Sans CJK SC"/>
          <w:b w:val="0"/>
          <w:color w:val="222222"/>
          <w:sz w:val="21"/>
        </w:rPr>
        <w:t>不应把整份数百页PDF直接交给通用大模型，也不应让大模型直接生成最终分数。没有API Key时，财务确定性链路和部分规则型法务/业务链路仍应运行。</w:t>
      </w:r>
    </w:p>
    <w:p>
      <w:pPr>
        <w:widowControl/>
      </w:pPr>
      <w:r/>
    </w:p>
    <w:p>
      <w:pPr>
        <w:pStyle w:val="Heading1"/>
        <w:keepNext/>
        <w:pageBreakBefore w:val="0"/>
        <w:widowControl/>
        <w:spacing w:before="200" w:after="120" w:line="276" w:lineRule="auto"/>
      </w:pPr>
      <w:r>
        <w:t>9. enhanced_v2工作流与失败语义</w:t>
      </w:r>
    </w:p>
    <w:p>
      <w:pPr>
        <w:pStyle w:val="Heading2"/>
        <w:keepNext/>
        <w:widowControl/>
        <w:spacing w:before="160" w:after="100" w:line="276" w:lineRule="auto"/>
      </w:pPr>
      <w:r>
        <w:t>9.1 建议工作流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7F7F7"/>
            <w:tcBorders>
              <w:top w:val="single" w:sz="4" w:color="CFCFCF"/>
              <w:left w:val="single" w:sz="4" w:color="CFCFCF"/>
              <w:bottom w:val="single" w:sz="4" w:color="CFCFCF"/>
              <w:right w:val="single" w:sz="4" w:color="CFCFCF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widowControl/>
              <w:spacing w:after="0"/>
            </w:pPr>
            <w:r>
              <w:rPr>
                <w:rFonts w:ascii="Liberation Mono" w:hAnsi="Liberation Mono" w:eastAsia="Liberation Mono"/>
                <w:b w:val="0"/>
                <w:color w:val="222222"/>
                <w:sz w:val="18"/>
              </w:rPr>
              <w:t>load_ipo_profile</w:t>
              <w:br/>
              <w:t>→ load_market_snapshot</w:t>
              <w:br/>
              <w:t>→ document</w:t>
              <w:br/>
              <w:t>→ financial</w:t>
              <w:br/>
              <w:t>→ legal</w:t>
              <w:br/>
              <w:t>→ business</w:t>
              <w:br/>
              <w:t>→ market</w:t>
              <w:br/>
              <w:t>→ specialized_verifiers</w:t>
              <w:br/>
              <w:t>→ supervisor</w:t>
              <w:br/>
              <w:t>→ predictor</w:t>
              <w:br/>
              <w:t>→ report</w:t>
              <w:br/>
              <w:br/>
              <w:t>Repository不进入LangGraph；IPOAnalysisService在工作流返回后负责持久化。</w:t>
            </w:r>
          </w:p>
        </w:tc>
      </w:tr>
    </w:tbl>
    <w:p>
      <w:pPr>
        <w:widowControl/>
        <w:spacing w:after="0"/>
      </w:pPr>
    </w:p>
    <w:p>
      <w:pPr>
        <w:pStyle w:val="Heading2"/>
        <w:keepNext/>
        <w:widowControl/>
        <w:spacing w:before="160" w:after="100" w:line="276" w:lineRule="auto"/>
      </w:pPr>
      <w:r>
        <w:t>9.2 必须保留的兼容性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保留mvp_v1，不删除v0.1/v0.2工作流。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保留Mock实现，Mock与真实实现通过配置切换。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不改变专业Agent统一返回list[RiskItem]的公共契约。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不改变IPOAnalysisService对外返回IPOAnalysisResult的契约。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公共Schema新增字段优先提供默认值，避免破坏旧结果。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Repository由IPOAnalysisService在工作流完成后调用；必须能够读取旧结果并记录schema_version。</w:t>
      </w:r>
    </w:p>
    <w:p>
      <w:pPr>
        <w:pStyle w:val="Heading2"/>
        <w:keepNext/>
        <w:widowControl/>
        <w:spacing w:before="160" w:after="100" w:line="276" w:lineRule="auto"/>
      </w:pPr>
      <w:r>
        <w:t>9.3 v0.3内部结构化诊断码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</w:trPr>
        <w:tc>
          <w:tcPr>
            <w:tcW w:type="dxa" w:w="1984"/>
            <w:shd w:fill="183B5B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widowControl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诊断码</w:t>
            </w:r>
          </w:p>
        </w:tc>
        <w:tc>
          <w:tcPr>
            <w:tcW w:type="dxa" w:w="4082"/>
            <w:shd w:fill="183B5B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widowControl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含义</w:t>
            </w:r>
          </w:p>
        </w:tc>
        <w:tc>
          <w:tcPr>
            <w:tcW w:type="dxa" w:w="3402"/>
            <w:shd w:fill="183B5B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widowControl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前端/评测处理</w:t>
            </w:r>
          </w:p>
        </w:tc>
      </w:tr>
      <w:tr>
        <w:tc>
          <w:tcPr>
            <w:tcW w:type="dxa" w:w="1984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not_applicable</w:t>
            </w:r>
          </w:p>
        </w:tc>
        <w:tc>
          <w:tcPr>
            <w:tcW w:type="dxa" w:w="4082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该风险对当前文档或证券不适用</w:t>
            </w:r>
          </w:p>
        </w:tc>
        <w:tc>
          <w:tcPr>
            <w:tcW w:type="dxa" w:w="3402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不计为漏报</w:t>
            </w:r>
          </w:p>
        </w:tc>
      </w:tr>
      <w:tr>
        <w:tc>
          <w:tcPr>
            <w:tcW w:type="dxa" w:w="1984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evidence_not_found</w:t>
            </w:r>
          </w:p>
        </w:tc>
        <w:tc>
          <w:tcPr>
            <w:tcW w:type="dxa" w:w="4082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未找到足够证据</w:t>
            </w:r>
          </w:p>
        </w:tc>
        <w:tc>
          <w:tcPr>
            <w:tcW w:type="dxa" w:w="3402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显示检索失败，不能当作无风险</w:t>
            </w:r>
          </w:p>
        </w:tc>
      </w:tr>
      <w:tr>
        <w:tc>
          <w:tcPr>
            <w:tcW w:type="dxa" w:w="1984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extraction_failed</w:t>
            </w:r>
          </w:p>
        </w:tc>
        <w:tc>
          <w:tcPr>
            <w:tcW w:type="dxa" w:w="4082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找到了候选页但提取失败</w:t>
            </w:r>
          </w:p>
        </w:tc>
        <w:tc>
          <w:tcPr>
            <w:tcW w:type="dxa" w:w="3402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记录失败原因</w:t>
            </w:r>
          </w:p>
        </w:tc>
      </w:tr>
      <w:tr>
        <w:tc>
          <w:tcPr>
            <w:tcW w:type="dxa" w:w="1984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conflicting_values</w:t>
            </w:r>
          </w:p>
        </w:tc>
        <w:tc>
          <w:tcPr>
            <w:tcW w:type="dxa" w:w="4082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存在相互冲突的金额、单位或期间</w:t>
            </w:r>
          </w:p>
        </w:tc>
        <w:tc>
          <w:tcPr>
            <w:tcW w:type="dxa" w:w="3402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进入needs_review</w:t>
            </w:r>
          </w:p>
        </w:tc>
      </w:tr>
      <w:tr>
        <w:tc>
          <w:tcPr>
            <w:tcW w:type="dxa" w:w="1984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unsupported_layout</w:t>
            </w:r>
          </w:p>
        </w:tc>
        <w:tc>
          <w:tcPr>
            <w:tcW w:type="dxa" w:w="4082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跨页表格或版式超出当前能力</w:t>
            </w:r>
          </w:p>
        </w:tc>
        <w:tc>
          <w:tcPr>
            <w:tcW w:type="dxa" w:w="3402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记录能力边界</w:t>
            </w:r>
          </w:p>
        </w:tc>
      </w:tr>
      <w:tr>
        <w:tc>
          <w:tcPr>
            <w:tcW w:type="dxa" w:w="1984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component_failure</w:t>
            </w:r>
          </w:p>
        </w:tc>
        <w:tc>
          <w:tcPr>
            <w:tcW w:type="dxa" w:w="4082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Agent、Provider或Skill异常</w:t>
            </w:r>
          </w:p>
        </w:tc>
        <w:tc>
          <w:tcPr>
            <w:tcW w:type="dxa" w:w="3402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整体可返回partial</w:t>
            </w:r>
          </w:p>
        </w:tc>
      </w:tr>
      <w:tr>
        <w:tc>
          <w:tcPr>
            <w:tcW w:type="dxa" w:w="1984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needs_review</w:t>
            </w:r>
          </w:p>
        </w:tc>
        <w:tc>
          <w:tcPr>
            <w:tcW w:type="dxa" w:w="4082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有证据但结论存在歧义</w:t>
            </w:r>
          </w:p>
        </w:tc>
        <w:tc>
          <w:tcPr>
            <w:tcW w:type="dxa" w:w="3402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人工复核，不进入满额评分</w:t>
            </w:r>
          </w:p>
        </w:tc>
      </w:tr>
    </w:tbl>
    <w:p>
      <w:pPr>
        <w:widowControl/>
        <w:spacing w:after="0"/>
      </w:pPr>
    </w:p>
    <w:p>
      <w:pPr>
        <w:pStyle w:val="Heading1"/>
        <w:keepNext/>
        <w:pageBreakBefore w:val="0"/>
        <w:widowControl/>
        <w:spacing w:before="200" w:after="120" w:line="276" w:lineRule="auto"/>
      </w:pPr>
      <w:r>
        <w:t>10. v0.3多案例评测体系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</w:trPr>
        <w:tc>
          <w:tcPr>
            <w:tcW w:type="dxa" w:w="1701"/>
            <w:shd w:fill="183B5B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widowControl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评测层级</w:t>
            </w:r>
          </w:p>
        </w:tc>
        <w:tc>
          <w:tcPr>
            <w:tcW w:type="dxa" w:w="4932"/>
            <w:shd w:fill="183B5B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widowControl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核心指标</w:t>
            </w:r>
          </w:p>
        </w:tc>
        <w:tc>
          <w:tcPr>
            <w:tcW w:type="dxa" w:w="3118"/>
            <w:shd w:fill="183B5B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widowControl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建议退出门槛</w:t>
            </w:r>
          </w:p>
        </w:tc>
      </w:tr>
      <w:tr>
        <w:tc>
          <w:tcPr>
            <w:tcW w:type="dxa" w:w="170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Retriever</w:t>
            </w:r>
          </w:p>
        </w:tc>
        <w:tc>
          <w:tcPr>
            <w:tcW w:type="dxa" w:w="4932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Recall@1、Recall@3、Recall@5、主证据页命中率</w:t>
            </w:r>
          </w:p>
        </w:tc>
        <w:tc>
          <w:tcPr>
            <w:tcW w:type="dxa" w:w="3118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主证据Recall@3 ≥ 90%</w:t>
            </w:r>
          </w:p>
        </w:tc>
      </w:tr>
      <w:tr>
        <w:tc>
          <w:tcPr>
            <w:tcW w:type="dxa" w:w="1701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Extractor</w:t>
            </w:r>
          </w:p>
        </w:tc>
        <w:tc>
          <w:tcPr>
            <w:tcW w:type="dxa" w:w="4932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金额、比例、币种、单位、期间准确率</w:t>
            </w:r>
          </w:p>
        </w:tc>
        <w:tc>
          <w:tcPr>
            <w:tcW w:type="dxa" w:w="3118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确定性数值准确率 ≥ 95%</w:t>
            </w:r>
          </w:p>
        </w:tc>
      </w:tr>
      <w:tr>
        <w:tc>
          <w:tcPr>
            <w:tcW w:type="dxa" w:w="170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Agent</w:t>
            </w:r>
          </w:p>
        </w:tc>
        <w:tc>
          <w:tcPr>
            <w:tcW w:type="dxa" w:w="4932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RiskItem Precision、Recall、F1、误报与漏报</w:t>
            </w:r>
          </w:p>
        </w:tc>
        <w:tc>
          <w:tcPr>
            <w:tcW w:type="dxa" w:w="3118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核心风险可稳定复现</w:t>
            </w:r>
          </w:p>
        </w:tc>
      </w:tr>
      <w:tr>
        <w:tc>
          <w:tcPr>
            <w:tcW w:type="dxa" w:w="1701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Verifier</w:t>
            </w:r>
          </w:p>
        </w:tc>
        <w:tc>
          <w:tcPr>
            <w:tcW w:type="dxa" w:w="4932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verified precision、错误拒绝率、needs_review合理性</w:t>
            </w:r>
          </w:p>
        </w:tc>
        <w:tc>
          <w:tcPr>
            <w:tcW w:type="dxa" w:w="3118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verified precision ≥ 90%</w:t>
            </w:r>
          </w:p>
        </w:tc>
      </w:tr>
      <w:tr>
        <w:tc>
          <w:tcPr>
            <w:tcW w:type="dxa" w:w="170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Supervisor</w:t>
            </w:r>
          </w:p>
        </w:tc>
        <w:tc>
          <w:tcPr>
            <w:tcW w:type="dxa" w:w="4932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重复风险数、冲突处理正确率、证据覆盖率</w:t>
            </w:r>
          </w:p>
        </w:tc>
        <w:tc>
          <w:tcPr>
            <w:tcW w:type="dxa" w:w="3118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无明显重复与无证据综合结论</w:t>
            </w:r>
          </w:p>
        </w:tc>
      </w:tr>
      <w:tr>
        <w:tc>
          <w:tcPr>
            <w:tcW w:type="dxa" w:w="1701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系统</w:t>
            </w:r>
          </w:p>
        </w:tc>
        <w:tc>
          <w:tcPr>
            <w:tcW w:type="dxa" w:w="4932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案例完成率、partial比例、Agent失败率、平均耗时</w:t>
            </w:r>
          </w:p>
        </w:tc>
        <w:tc>
          <w:tcPr>
            <w:tcW w:type="dxa" w:w="3118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黄金案例完整运行率100%，崩溃0</w:t>
            </w:r>
          </w:p>
        </w:tc>
      </w:tr>
      <w:tr>
        <w:tc>
          <w:tcPr>
            <w:tcW w:type="dxa" w:w="170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回归</w:t>
            </w:r>
          </w:p>
        </w:tc>
        <w:tc>
          <w:tcPr>
            <w:tcW w:type="dxa" w:w="4932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2410.HK现金跑道和Mock模式</w:t>
            </w:r>
          </w:p>
        </w:tc>
        <w:tc>
          <w:tcPr>
            <w:tcW w:type="dxa" w:w="3118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结果100%保持</w:t>
            </w:r>
          </w:p>
        </w:tc>
      </w:tr>
    </w:tbl>
    <w:p>
      <w:pPr>
        <w:widowControl/>
        <w:spacing w:after="0"/>
      </w:pPr>
    </w:p>
    <w:p>
      <w:pPr>
        <w:pStyle w:val="Heading2"/>
        <w:keepNext/>
        <w:widowControl/>
        <w:spacing w:before="160" w:after="100" w:line="276" w:lineRule="auto"/>
      </w:pPr>
      <w:r>
        <w:t>10.1 批量输出文件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analysis_results.jsonl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risk_items.csv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evidence_results.csv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case_summary.csv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failure_report.csv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evaluation_metrics.json</w:t>
      </w:r>
    </w:p>
    <w:p>
      <w:pPr>
        <w:pStyle w:val="Heading2"/>
        <w:keepNext/>
        <w:widowControl/>
        <w:spacing w:before="160" w:after="100" w:line="276" w:lineRule="auto"/>
      </w:pPr>
      <w:r>
        <w:t>10.2 数据泄漏防线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2025年116份盲测案例默认禁止批量运行和调试。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v0.3只分析招股书中的文档风险，不使用上市后行情作为特征。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2024验证集不用于反复修改黄金规则；只用于时间外验证。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任何提示词、规则和阈值的修改必须记录版本。</w:t>
      </w:r>
    </w:p>
    <w:p>
      <w:pPr>
        <w:pStyle w:val="Heading1"/>
        <w:keepNext/>
        <w:pageBreakBefore w:val="0"/>
        <w:widowControl/>
        <w:spacing w:before="200" w:after="120" w:line="276" w:lineRule="auto"/>
      </w:pPr>
      <w:r>
        <w:t>11. 五人团队分工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1757"/>
            <w:shd w:fill="183B5B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widowControl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成员角色</w:t>
            </w:r>
          </w:p>
        </w:tc>
        <w:tc>
          <w:tcPr>
            <w:tcW w:type="dxa" w:w="3402"/>
            <w:shd w:fill="183B5B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widowControl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v0.3主责任</w:t>
            </w:r>
          </w:p>
        </w:tc>
        <w:tc>
          <w:tcPr>
            <w:tcW w:type="dxa" w:w="2778"/>
            <w:shd w:fill="183B5B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widowControl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关键产出</w:t>
            </w:r>
          </w:p>
        </w:tc>
        <w:tc>
          <w:tcPr>
            <w:tcW w:type="dxa" w:w="2268"/>
            <w:shd w:fill="183B5B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widowControl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避免事项</w:t>
            </w:r>
          </w:p>
        </w:tc>
      </w:tr>
      <w:tr>
        <w:tc>
          <w:tcPr>
            <w:tcW w:type="dxa" w:w="1757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1号 技术负责人</w:t>
            </w:r>
          </w:p>
        </w:tc>
        <w:tc>
          <w:tcPr>
            <w:tcW w:type="dxa" w:w="3402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架构、Retriever、LLM接口、Verifier、Supervisor、Workflow和发布</w:t>
            </w:r>
          </w:p>
        </w:tc>
        <w:tc>
          <w:tcPr>
            <w:tcW w:type="dxa" w:w="2778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公共接口审查、集成PR、版本冻结</w:t>
            </w:r>
          </w:p>
        </w:tc>
        <w:tc>
          <w:tcPr>
            <w:tcW w:type="dxa" w:w="2268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不要独自承担全部专业标注</w:t>
            </w:r>
          </w:p>
        </w:tc>
      </w:tr>
      <w:tr>
        <w:tc>
          <w:tcPr>
            <w:tcW w:type="dxa" w:w="1757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2号 技术备份/数据</w:t>
            </w:r>
          </w:p>
        </w:tc>
        <w:tc>
          <w:tcPr>
            <w:tcW w:type="dxa" w:w="3402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IPO Provider、特殊证券、批量运行、评测和独立复跑</w:t>
            </w:r>
          </w:p>
        </w:tc>
        <w:tc>
          <w:tcPr>
            <w:tcW w:type="dxa" w:w="2778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Provider、评测脚本、部署记录</w:t>
            </w:r>
          </w:p>
        </w:tc>
        <w:tc>
          <w:tcPr>
            <w:tcW w:type="dxa" w:w="2268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不要修改核心Workflow边界</w:t>
            </w:r>
          </w:p>
        </w:tc>
      </w:tr>
      <w:tr>
        <w:tc>
          <w:tcPr>
            <w:tcW w:type="dxa" w:w="1757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3号 财务成员</w:t>
            </w:r>
          </w:p>
        </w:tc>
        <w:tc>
          <w:tcPr>
            <w:tcW w:type="dxa" w:w="3402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持续亏损、收入增长、客户和供应商集中度</w:t>
            </w:r>
          </w:p>
        </w:tc>
        <w:tc>
          <w:tcPr>
            <w:tcW w:type="dxa" w:w="2778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财务黄金案例、Skills、规则和测试</w:t>
            </w:r>
          </w:p>
        </w:tc>
        <w:tc>
          <w:tcPr>
            <w:tcW w:type="dxa" w:w="2268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不要在前端计算财务指标</w:t>
            </w:r>
          </w:p>
        </w:tc>
      </w:tr>
      <w:tr>
        <w:tc>
          <w:tcPr>
            <w:tcW w:type="dxa" w:w="1757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4号 法务成员</w:t>
            </w:r>
          </w:p>
        </w:tc>
        <w:tc>
          <w:tcPr>
            <w:tcW w:type="dxa" w:w="3402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特殊股东权利、诉讼合规和第二复核</w:t>
            </w:r>
          </w:p>
        </w:tc>
        <w:tc>
          <w:tcPr>
            <w:tcW w:type="dxa" w:w="2778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法律词典、标注、Legal Verifier规则</w:t>
            </w:r>
          </w:p>
        </w:tc>
        <w:tc>
          <w:tcPr>
            <w:tcW w:type="dxa" w:w="2268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不要把一般性风险提示当成已发生事实</w:t>
            </w:r>
          </w:p>
        </w:tc>
      </w:tr>
      <w:tr>
        <w:tc>
          <w:tcPr>
            <w:tcW w:type="dxa" w:w="1757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5号 业务/产品</w:t>
            </w:r>
          </w:p>
        </w:tc>
        <w:tc>
          <w:tcPr>
            <w:tcW w:type="dxa" w:w="3402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未商业化、核心产品依赖、UI和报告验收</w:t>
            </w:r>
          </w:p>
        </w:tc>
        <w:tc>
          <w:tcPr>
            <w:tcW w:type="dxa" w:w="2778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业务黄金案例、页面原型、演示材料</w:t>
            </w:r>
          </w:p>
        </w:tc>
        <w:tc>
          <w:tcPr>
            <w:tcW w:type="dxa" w:w="2268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不要直接调用Agent或LLM</w:t>
            </w:r>
          </w:p>
        </w:tc>
      </w:tr>
    </w:tbl>
    <w:p>
      <w:pPr>
        <w:widowControl/>
        <w:spacing w:after="0"/>
      </w:pPr>
    </w:p>
    <w:p>
      <w:pPr>
        <w:pStyle w:val="Heading2"/>
        <w:keepNext/>
        <w:widowControl/>
        <w:spacing w:before="160" w:after="100" w:line="276" w:lineRule="auto"/>
      </w:pPr>
      <w:r>
        <w:t>11.1 受保护的共享边界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7F7F7"/>
            <w:tcBorders>
              <w:top w:val="single" w:sz="4" w:color="CFCFCF"/>
              <w:left w:val="single" w:sz="4" w:color="CFCFCF"/>
              <w:bottom w:val="single" w:sz="4" w:color="CFCFCF"/>
              <w:right w:val="single" w:sz="4" w:color="CFCFCF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widowControl/>
              <w:spacing w:after="0"/>
            </w:pPr>
            <w:r>
              <w:rPr>
                <w:rFonts w:ascii="Liberation Mono" w:hAnsi="Liberation Mono" w:eastAsia="Liberation Mono"/>
                <w:b w:val="0"/>
                <w:color w:val="222222"/>
                <w:sz w:val="18"/>
              </w:rPr>
              <w:t>src/ipo_risk/schemas/</w:t>
              <w:br/>
              <w:t>src/ipo_risk/agents/base.py</w:t>
              <w:br/>
              <w:t>src/ipo_risk/parsers/base.py</w:t>
              <w:br/>
              <w:t>src/ipo_risk/retrieval/base.py</w:t>
              <w:br/>
              <w:t>src/ipo_risk/providers/</w:t>
              <w:br/>
              <w:t>src/ipo_risk/core/container.py</w:t>
              <w:br/>
              <w:t>src/ipo_risk/domain/risk_codes.py</w:t>
              <w:br/>
              <w:t>src/ipo_risk/workflows/</w:t>
              <w:br/>
              <w:t>src/ipo_risk/services/</w:t>
            </w:r>
          </w:p>
        </w:tc>
      </w:tr>
    </w:tbl>
    <w:p>
      <w:pPr>
        <w:widowControl/>
        <w:spacing w:after="0"/>
      </w:pPr>
    </w:p>
    <w:p>
      <w:pPr>
        <w:widowControl/>
        <w:spacing w:before="0" w:after="80" w:line="276" w:lineRule="auto"/>
      </w:pPr>
      <w:r>
        <w:rPr>
          <w:rFonts w:ascii="Noto Sans CJK SC" w:hAnsi="Noto Sans CJK SC" w:eastAsia="Noto Sans CJK SC"/>
          <w:b w:val="0"/>
          <w:color w:val="222222"/>
          <w:sz w:val="21"/>
        </w:rPr>
        <w:t>这些文件由技术负责人统一集成，多个成员不得在不同分支同时进行大范围重写。</w:t>
      </w:r>
    </w:p>
    <w:p>
      <w:pPr>
        <w:widowControl/>
      </w:pPr>
      <w:r/>
    </w:p>
    <w:p>
      <w:pPr>
        <w:pStyle w:val="Heading1"/>
        <w:keepNext/>
        <w:pageBreakBefore w:val="0"/>
        <w:widowControl/>
        <w:spacing w:before="200" w:after="120" w:line="276" w:lineRule="auto"/>
      </w:pPr>
      <w:r>
        <w:t>12. 分支、接力顺序与阶段里程碑</w:t>
      </w:r>
    </w:p>
    <w:p>
      <w:pPr>
        <w:pStyle w:val="Heading2"/>
        <w:keepNext/>
        <w:widowControl/>
        <w:spacing w:before="160" w:after="100" w:line="276" w:lineRule="auto"/>
      </w:pPr>
      <w:r>
        <w:t>12.1 建议分支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7F7F7"/>
            <w:tcBorders>
              <w:top w:val="single" w:sz="4" w:color="CFCFCF"/>
              <w:left w:val="single" w:sz="4" w:color="CFCFCF"/>
              <w:bottom w:val="single" w:sz="4" w:color="CFCFCF"/>
              <w:right w:val="single" w:sz="4" w:color="CFCFCF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widowControl/>
              <w:spacing w:after="0"/>
            </w:pPr>
            <w:r>
              <w:rPr>
                <w:rFonts w:ascii="Liberation Mono" w:hAnsi="Liberation Mono" w:eastAsia="Liberation Mono"/>
                <w:b w:val="0"/>
                <w:color w:val="222222"/>
                <w:sz w:val="18"/>
              </w:rPr>
              <w:t>docs/v03-master-plan</w:t>
              <w:br/>
              <w:t>feat/v03-golden-cases</w:t>
              <w:br/>
              <w:t>feat/catalog-ipo-provider</w:t>
              <w:br/>
              <w:t>feat/retrieval-query-families</w:t>
              <w:br/>
              <w:t>feat/llm-provider</w:t>
              <w:br/>
              <w:t>feat/financial-multi-risk-agent</w:t>
              <w:br/>
              <w:t>feat/legal-risk-agent</w:t>
              <w:br/>
              <w:t>feat/business-risk-agent</w:t>
              <w:br/>
              <w:t>feat/v03-risk-verifiers</w:t>
              <w:br/>
              <w:t>feat/enhanced-v2-workflow</w:t>
              <w:br/>
              <w:t>feat/v03-batch-evaluation</w:t>
              <w:br/>
              <w:t>feat/v03-reporting-ui</w:t>
              <w:br/>
              <w:t>fix/v03-release-validation</w:t>
            </w:r>
          </w:p>
        </w:tc>
      </w:tr>
    </w:tbl>
    <w:p>
      <w:pPr>
        <w:widowControl/>
        <w:spacing w:after="0"/>
      </w:pPr>
    </w:p>
    <w:p>
      <w:pPr>
        <w:pStyle w:val="Heading2"/>
        <w:keepNext/>
        <w:widowControl/>
        <w:spacing w:before="160" w:after="100" w:line="276" w:lineRule="auto"/>
      </w:pPr>
      <w:r>
        <w:t>12.2 建议阶段节奏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1247"/>
            <w:shd w:fill="183B5B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widowControl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阶段</w:t>
            </w:r>
          </w:p>
        </w:tc>
        <w:tc>
          <w:tcPr>
            <w:tcW w:type="dxa" w:w="3515"/>
            <w:shd w:fill="183B5B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widowControl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主要任务</w:t>
            </w:r>
          </w:p>
        </w:tc>
        <w:tc>
          <w:tcPr>
            <w:tcW w:type="dxa" w:w="2551"/>
            <w:shd w:fill="183B5B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widowControl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可并行事项</w:t>
            </w:r>
          </w:p>
        </w:tc>
        <w:tc>
          <w:tcPr>
            <w:tcW w:type="dxa" w:w="2665"/>
            <w:shd w:fill="183B5B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widowControl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阶段出口</w:t>
            </w:r>
          </w:p>
        </w:tc>
      </w:tr>
      <w:tr>
        <w:tc>
          <w:tcPr>
            <w:tcW w:type="dxa" w:w="1247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第1阶段</w:t>
            </w:r>
          </w:p>
        </w:tc>
        <w:tc>
          <w:tcPr>
            <w:tcW w:type="dxa" w:w="3515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R0发布收尾 + V3-0计划冻结</w:t>
            </w:r>
          </w:p>
        </w:tc>
        <w:tc>
          <w:tcPr>
            <w:tcW w:type="dxa" w:w="255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文档复核、独立复跑</w:t>
            </w:r>
          </w:p>
        </w:tc>
        <w:tc>
          <w:tcPr>
            <w:tcW w:type="dxa" w:w="2665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v0.2正式Release</w:t>
            </w:r>
          </w:p>
        </w:tc>
      </w:tr>
      <w:tr>
        <w:tc>
          <w:tcPr>
            <w:tcW w:type="dxa" w:w="1247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第2阶段</w:t>
            </w:r>
          </w:p>
        </w:tc>
        <w:tc>
          <w:tcPr>
            <w:tcW w:type="dxa" w:w="3515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V3-1黄金案例 + V3-2 IPO Provider</w:t>
            </w:r>
          </w:p>
        </w:tc>
        <w:tc>
          <w:tcPr>
            <w:tcW w:type="dxa" w:w="2551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财务/法务/业务标注可并行</w:t>
            </w:r>
          </w:p>
        </w:tc>
        <w:tc>
          <w:tcPr>
            <w:tcW w:type="dxa" w:w="2665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案例和基础信息可稳定加载</w:t>
            </w:r>
          </w:p>
        </w:tc>
      </w:tr>
      <w:tr>
        <w:tc>
          <w:tcPr>
            <w:tcW w:type="dxa" w:w="1247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第3阶段</w:t>
            </w:r>
          </w:p>
        </w:tc>
        <w:tc>
          <w:tcPr>
            <w:tcW w:type="dxa" w:w="3515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V3-3 Retriever + V3-4 LLMProvider</w:t>
            </w:r>
          </w:p>
        </w:tc>
        <w:tc>
          <w:tcPr>
            <w:tcW w:type="dxa" w:w="255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词典和Prompt设计</w:t>
            </w:r>
          </w:p>
        </w:tc>
        <w:tc>
          <w:tcPr>
            <w:tcW w:type="dxa" w:w="2665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三类Evidence查询可运行</w:t>
            </w:r>
          </w:p>
        </w:tc>
      </w:tr>
      <w:tr>
        <w:tc>
          <w:tcPr>
            <w:tcW w:type="dxa" w:w="1247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第4阶段</w:t>
            </w:r>
          </w:p>
        </w:tc>
        <w:tc>
          <w:tcPr>
            <w:tcW w:type="dxa" w:w="3515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V3-5/6/7三个真实Agent</w:t>
            </w:r>
          </w:p>
        </w:tc>
        <w:tc>
          <w:tcPr>
            <w:tcW w:type="dxa" w:w="2551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专业Agent可分支并行</w:t>
            </w:r>
          </w:p>
        </w:tc>
        <w:tc>
          <w:tcPr>
            <w:tcW w:type="dxa" w:w="2665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每个Agent完成最小风险闭环</w:t>
            </w:r>
          </w:p>
        </w:tc>
      </w:tr>
      <w:tr>
        <w:tc>
          <w:tcPr>
            <w:tcW w:type="dxa" w:w="1247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第5阶段</w:t>
            </w:r>
          </w:p>
        </w:tc>
        <w:tc>
          <w:tcPr>
            <w:tcW w:type="dxa" w:w="3515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V3-8 Verifier + V3-9 Supervisor/Workflow</w:t>
            </w:r>
          </w:p>
        </w:tc>
        <w:tc>
          <w:tcPr>
            <w:tcW w:type="dxa" w:w="255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Verifier规则复核</w:t>
            </w:r>
          </w:p>
        </w:tc>
        <w:tc>
          <w:tcPr>
            <w:tcW w:type="dxa" w:w="2665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完整单案例多Agent闭环</w:t>
            </w:r>
          </w:p>
        </w:tc>
      </w:tr>
      <w:tr>
        <w:tc>
          <w:tcPr>
            <w:tcW w:type="dxa" w:w="1247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第6阶段</w:t>
            </w:r>
          </w:p>
        </w:tc>
        <w:tc>
          <w:tcPr>
            <w:tcW w:type="dxa" w:w="3515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V3-10批量评测 + V3-11 UI/报告</w:t>
            </w:r>
          </w:p>
        </w:tc>
        <w:tc>
          <w:tcPr>
            <w:tcW w:type="dxa" w:w="2551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评测与页面可并行</w:t>
            </w:r>
          </w:p>
        </w:tc>
        <w:tc>
          <w:tcPr>
            <w:tcW w:type="dxa" w:w="2665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5—10案例评测完成</w:t>
            </w:r>
          </w:p>
        </w:tc>
      </w:tr>
      <w:tr>
        <w:tc>
          <w:tcPr>
            <w:tcW w:type="dxa" w:w="1247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第7阶段</w:t>
            </w:r>
          </w:p>
        </w:tc>
        <w:tc>
          <w:tcPr>
            <w:tcW w:type="dxa" w:w="3515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V3-12发布加固</w:t>
            </w:r>
          </w:p>
        </w:tc>
        <w:tc>
          <w:tcPr>
            <w:tcW w:type="dxa" w:w="255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独立复跑、材料同步</w:t>
            </w:r>
          </w:p>
        </w:tc>
        <w:tc>
          <w:tcPr>
            <w:tcW w:type="dxa" w:w="2665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v0.3正式Release</w:t>
            </w:r>
          </w:p>
        </w:tc>
      </w:tr>
    </w:tbl>
    <w:p>
      <w:pPr>
        <w:widowControl/>
        <w:spacing w:after="0"/>
      </w:pPr>
    </w:p>
    <w:p>
      <w:pPr>
        <w:pStyle w:val="Heading1"/>
        <w:keepNext/>
        <w:pageBreakBefore w:val="0"/>
        <w:widowControl/>
        <w:spacing w:before="200" w:after="120" w:line="276" w:lineRule="auto"/>
      </w:pPr>
      <w:r>
        <w:t>13. 每一棒统一验收命令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7F7F7"/>
            <w:tcBorders>
              <w:top w:val="single" w:sz="4" w:color="CFCFCF"/>
              <w:left w:val="single" w:sz="4" w:color="CFCFCF"/>
              <w:bottom w:val="single" w:sz="4" w:color="CFCFCF"/>
              <w:right w:val="single" w:sz="4" w:color="CFCFCF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widowControl/>
              <w:spacing w:after="0"/>
            </w:pPr>
            <w:r>
              <w:rPr>
                <w:rFonts w:ascii="Liberation Mono" w:hAnsi="Liberation Mono" w:eastAsia="Liberation Mono"/>
                <w:b w:val="0"/>
                <w:color w:val="222222"/>
                <w:sz w:val="18"/>
              </w:rPr>
              <w:t>pytest -q</w:t>
              <w:br/>
              <w:t>python scripts/validate_project.py</w:t>
              <w:br/>
              <w:t>python scripts/validate_competition_data.py</w:t>
              <w:br/>
              <w:t>python -m compileall -q app src</w:t>
              <w:br/>
              <w:t>git diff --check</w:t>
            </w:r>
          </w:p>
        </w:tc>
      </w:tr>
    </w:tbl>
    <w:p>
      <w:pPr>
        <w:widowControl/>
        <w:spacing w:after="0"/>
      </w:pPr>
    </w:p>
    <w:p>
      <w:pPr>
        <w:widowControl/>
        <w:spacing w:before="0" w:after="80" w:line="276" w:lineRule="auto"/>
      </w:pPr>
      <w:r>
        <w:rPr>
          <w:rFonts w:ascii="Noto Sans CJK SC" w:hAnsi="Noto Sans CJK SC" w:eastAsia="Noto Sans CJK SC"/>
          <w:b w:val="0"/>
          <w:color w:val="222222"/>
          <w:sz w:val="21"/>
        </w:rPr>
        <w:t>涉及真实PDF时增加：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7F7F7"/>
            <w:tcBorders>
              <w:top w:val="single" w:sz="4" w:color="CFCFCF"/>
              <w:left w:val="single" w:sz="4" w:color="CFCFCF"/>
              <w:bottom w:val="single" w:sz="4" w:color="CFCFCF"/>
              <w:right w:val="single" w:sz="4" w:color="CFCFCF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widowControl/>
              <w:spacing w:after="0"/>
            </w:pPr>
            <w:r>
              <w:rPr>
                <w:rFonts w:ascii="Liberation Mono" w:hAnsi="Liberation Mono" w:eastAsia="Liberation Mono"/>
                <w:b w:val="0"/>
                <w:color w:val="222222"/>
                <w:sz w:val="18"/>
              </w:rPr>
              <w:t>python scripts/check_real_v02_e2e.py</w:t>
            </w:r>
          </w:p>
        </w:tc>
      </w:tr>
    </w:tbl>
    <w:p>
      <w:pPr>
        <w:widowControl/>
        <w:spacing w:after="0"/>
      </w:pPr>
    </w:p>
    <w:p>
      <w:pPr>
        <w:widowControl/>
        <w:spacing w:before="0" w:after="80" w:line="276" w:lineRule="auto"/>
      </w:pPr>
      <w:r>
        <w:rPr>
          <w:rFonts w:ascii="Noto Sans CJK SC" w:hAnsi="Noto Sans CJK SC" w:eastAsia="Noto Sans CJK SC"/>
          <w:b w:val="0"/>
          <w:color w:val="222222"/>
          <w:sz w:val="21"/>
        </w:rPr>
        <w:t>v0.3批量评测完成后增加：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7F7F7"/>
            <w:tcBorders>
              <w:top w:val="single" w:sz="4" w:color="CFCFCF"/>
              <w:left w:val="single" w:sz="4" w:color="CFCFCF"/>
              <w:bottom w:val="single" w:sz="4" w:color="CFCFCF"/>
              <w:right w:val="single" w:sz="4" w:color="CFCFCF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widowControl/>
              <w:spacing w:after="0"/>
            </w:pPr>
            <w:r>
              <w:rPr>
                <w:rFonts w:ascii="Liberation Mono" w:hAnsi="Liberation Mono" w:eastAsia="Liberation Mono"/>
                <w:b w:val="0"/>
                <w:color w:val="222222"/>
                <w:sz w:val="18"/>
              </w:rPr>
              <w:t>python scripts/evaluate_v03_golden_cases.py</w:t>
            </w:r>
          </w:p>
        </w:tc>
      </w:tr>
    </w:tbl>
    <w:p>
      <w:pPr>
        <w:widowControl/>
        <w:spacing w:after="0"/>
      </w:pPr>
    </w:p>
    <w:p>
      <w:pPr>
        <w:pStyle w:val="Heading2"/>
        <w:keepNext/>
        <w:widowControl/>
        <w:spacing w:before="160" w:after="100" w:line="276" w:lineRule="auto"/>
      </w:pPr>
      <w:r>
        <w:t>13.1 每一棒汇报模板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创建了哪些文件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修改了哪些文件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实现了哪些功能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是否影响公共接口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执行了哪些测试及结果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如何启动和复现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当前仍使用哪些Mock或Unavailable组件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已知限制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下一棒的明确输入</w:t>
      </w:r>
    </w:p>
    <w:p>
      <w:pPr>
        <w:pStyle w:val="Heading1"/>
        <w:keepNext/>
        <w:pageBreakBefore w:val="0"/>
        <w:widowControl/>
        <w:spacing w:before="200" w:after="120" w:line="276" w:lineRule="auto"/>
      </w:pPr>
      <w:r>
        <w:t>14. v0.4及后续版本计划</w:t>
      </w:r>
    </w:p>
    <w:p>
      <w:pPr>
        <w:pStyle w:val="Heading2"/>
        <w:keepNext/>
        <w:widowControl/>
        <w:spacing w:before="160" w:after="100" w:line="276" w:lineRule="auto"/>
      </w:pPr>
      <w:r>
        <w:t>14.1 v0.4.0-market-risk-prediction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</w:trPr>
        <w:tc>
          <w:tcPr>
            <w:tcW w:type="dxa" w:w="1020"/>
            <w:shd w:fill="183B5B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widowControl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编号</w:t>
            </w:r>
          </w:p>
        </w:tc>
        <w:tc>
          <w:tcPr>
            <w:tcW w:type="dxa" w:w="3402"/>
            <w:shd w:fill="183B5B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widowControl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任务</w:t>
            </w:r>
          </w:p>
        </w:tc>
        <w:tc>
          <w:tcPr>
            <w:tcW w:type="dxa" w:w="5499"/>
            <w:shd w:fill="183B5B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widowControl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主要输出</w:t>
            </w:r>
          </w:p>
        </w:tc>
      </w:tr>
      <w:tr>
        <w:tc>
          <w:tcPr>
            <w:tcW w:type="dxa" w:w="1020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V4-1</w:t>
            </w:r>
          </w:p>
        </w:tc>
        <w:tc>
          <w:tcPr>
            <w:tcW w:type="dxa" w:w="3402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证券类别、上市日期和发行价语义治理</w:t>
            </w:r>
          </w:p>
        </w:tc>
        <w:tc>
          <w:tcPr>
            <w:tcW w:type="dxa" w:w="5499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普通股/REIT/SPAC/权证资格与时间边界</w:t>
            </w:r>
          </w:p>
        </w:tc>
      </w:tr>
      <w:tr>
        <w:tc>
          <w:tcPr>
            <w:tcW w:type="dxa" w:w="1020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V4-2</w:t>
            </w:r>
          </w:p>
        </w:tc>
        <w:tc>
          <w:tcPr>
            <w:tcW w:type="dxa" w:w="3402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正式MarketDataProvider</w:t>
            </w:r>
          </w:p>
        </w:tc>
        <w:tc>
          <w:tcPr>
            <w:tcW w:type="dxa" w:w="5499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按证券和交易日读取OHLCV</w:t>
            </w:r>
          </w:p>
        </w:tc>
      </w:tr>
      <w:tr>
        <w:tc>
          <w:tcPr>
            <w:tcW w:type="dxa" w:w="1020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V4-3</w:t>
            </w:r>
          </w:p>
        </w:tc>
        <w:tc>
          <w:tcPr>
            <w:tcW w:type="dxa" w:w="3402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上市后标签</w:t>
            </w:r>
          </w:p>
        </w:tc>
        <w:tc>
          <w:tcPr>
            <w:tcW w:type="dxa" w:w="5499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首日、5日、20日、60日收益、破发和回撤</w:t>
            </w:r>
          </w:p>
        </w:tc>
      </w:tr>
      <w:tr>
        <w:tc>
          <w:tcPr>
            <w:tcW w:type="dxa" w:w="1020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V4-4</w:t>
            </w:r>
          </w:p>
        </w:tc>
        <w:tc>
          <w:tcPr>
            <w:tcW w:type="dxa" w:w="3402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上市前市场特征</w:t>
            </w:r>
          </w:p>
        </w:tc>
        <w:tc>
          <w:tcPr>
            <w:tcW w:type="dxa" w:w="5499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恒指、行业、近期IPO、波动率和市场活跃度</w:t>
            </w:r>
          </w:p>
        </w:tc>
      </w:tr>
      <w:tr>
        <w:tc>
          <w:tcPr>
            <w:tcW w:type="dxa" w:w="1020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V4-5</w:t>
            </w:r>
          </w:p>
        </w:tc>
        <w:tc>
          <w:tcPr>
            <w:tcW w:type="dxa" w:w="3402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真实Market Agent</w:t>
            </w:r>
          </w:p>
        </w:tc>
        <w:tc>
          <w:tcPr>
            <w:tcW w:type="dxa" w:w="5499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上市前市场风险Evidence和MarketSnapshot</w:t>
            </w:r>
          </w:p>
        </w:tc>
      </w:tr>
      <w:tr>
        <w:tc>
          <w:tcPr>
            <w:tcW w:type="dxa" w:w="1020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V4-6</w:t>
            </w:r>
          </w:p>
        </w:tc>
        <w:tc>
          <w:tcPr>
            <w:tcW w:type="dxa" w:w="3402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模型基线</w:t>
            </w:r>
          </w:p>
        </w:tc>
        <w:tc>
          <w:tcPr>
            <w:tcW w:type="dxa" w:w="5499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Rule、Logistic和LightGBM</w:t>
            </w:r>
          </w:p>
        </w:tc>
      </w:tr>
      <w:tr>
        <w:tc>
          <w:tcPr>
            <w:tcW w:type="dxa" w:w="1020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V4-7</w:t>
            </w:r>
          </w:p>
        </w:tc>
        <w:tc>
          <w:tcPr>
            <w:tcW w:type="dxa" w:w="3402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时间外验证</w:t>
            </w:r>
          </w:p>
        </w:tc>
        <w:tc>
          <w:tcPr>
            <w:tcW w:type="dxa" w:w="5499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2020—2023开发、2024验证</w:t>
            </w:r>
          </w:p>
        </w:tc>
      </w:tr>
      <w:tr>
        <w:tc>
          <w:tcPr>
            <w:tcW w:type="dxa" w:w="1020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V4-8</w:t>
            </w:r>
          </w:p>
        </w:tc>
        <w:tc>
          <w:tcPr>
            <w:tcW w:type="dxa" w:w="3402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最终盲测</w:t>
            </w:r>
          </w:p>
        </w:tc>
        <w:tc>
          <w:tcPr>
            <w:tcW w:type="dxa" w:w="5499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2025一次性评估，不再调参</w:t>
            </w:r>
          </w:p>
        </w:tc>
      </w:tr>
    </w:tbl>
    <w:p>
      <w:pPr>
        <w:widowControl/>
        <w:spacing w:after="0"/>
      </w:pPr>
    </w:p>
    <w:p>
      <w:pPr>
        <w:pStyle w:val="Heading2"/>
        <w:keepNext/>
        <w:widowControl/>
        <w:spacing w:before="160" w:after="100" w:line="276" w:lineRule="auto"/>
      </w:pPr>
      <w:r>
        <w:t>14.2 v0.5.0-evaluation-and-validation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选择20—30家公司，建立200—300条人工风险标注。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系统评测覆盖Parser、Retriever、Extractor、Agent、Verifier和市场模型。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开展无LLM、无Verifier、单Agent、多Agent、无市场特征等消融实验。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形成错误分类、失败案例、模型校准和可复现实验报告。</w:t>
      </w:r>
    </w:p>
    <w:p>
      <w:pPr>
        <w:pStyle w:val="Heading2"/>
        <w:keepNext/>
        <w:pageBreakBefore/>
        <w:widowControl/>
        <w:spacing w:before="160" w:after="100" w:line="276" w:lineRule="auto"/>
      </w:pPr>
      <w:r>
        <w:t>14.3 提交准备、RC和v1.0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</w:trPr>
        <w:tc>
          <w:tcPr>
            <w:tcW w:type="dxa" w:w="1701"/>
            <w:shd w:fill="183B5B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widowControl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阶段</w:t>
            </w:r>
          </w:p>
        </w:tc>
        <w:tc>
          <w:tcPr>
            <w:tcW w:type="dxa" w:w="5102"/>
            <w:shd w:fill="183B5B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widowControl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核心任务</w:t>
            </w:r>
          </w:p>
        </w:tc>
        <w:tc>
          <w:tcPr>
            <w:tcW w:type="dxa" w:w="3118"/>
            <w:shd w:fill="183B5B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widowControl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退出标准</w:t>
            </w:r>
          </w:p>
        </w:tc>
      </w:tr>
      <w:tr>
        <w:tc>
          <w:tcPr>
            <w:tcW w:type="dxa" w:w="170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提交准备</w:t>
            </w:r>
          </w:p>
        </w:tc>
        <w:tc>
          <w:tcPr>
            <w:tcW w:type="dxa" w:w="5102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页面、自动报告、PPT、视频、操作与部署手册</w:t>
            </w:r>
          </w:p>
        </w:tc>
        <w:tc>
          <w:tcPr>
            <w:tcW w:type="dxa" w:w="3118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评委能理解、运行和验证</w:t>
            </w:r>
          </w:p>
        </w:tc>
      </w:tr>
      <w:tr>
        <w:tc>
          <w:tcPr>
            <w:tcW w:type="dxa" w:w="1701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RC</w:t>
            </w:r>
          </w:p>
        </w:tc>
        <w:tc>
          <w:tcPr>
            <w:tcW w:type="dxa" w:w="5102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依赖、Prompt、规则、模型、黄金案例冻结；新电脑和异常复跑</w:t>
            </w:r>
          </w:p>
        </w:tc>
        <w:tc>
          <w:tcPr>
            <w:tcW w:type="dxa" w:w="3118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无阻塞Bug，核心链路100%复现</w:t>
            </w:r>
          </w:p>
        </w:tc>
      </w:tr>
      <w:tr>
        <w:tc>
          <w:tcPr>
            <w:tcW w:type="dxa" w:w="170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v1.0</w:t>
            </w:r>
          </w:p>
        </w:tc>
        <w:tc>
          <w:tcPr>
            <w:tcW w:type="dxa" w:w="5102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完整源码、模型、配置、结果、报告和材料包</w:t>
            </w:r>
          </w:p>
        </w:tc>
        <w:tc>
          <w:tcPr>
            <w:tcW w:type="dxa" w:w="3118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完成正式参赛提交并保留备份</w:t>
            </w:r>
          </w:p>
        </w:tc>
      </w:tr>
    </w:tbl>
    <w:p>
      <w:pPr>
        <w:widowControl/>
        <w:spacing w:after="0"/>
      </w:pPr>
    </w:p>
    <w:p>
      <w:pPr>
        <w:pStyle w:val="Heading1"/>
        <w:keepNext/>
        <w:pageBreakBefore w:val="0"/>
        <w:widowControl/>
        <w:spacing w:before="200" w:after="120" w:line="276" w:lineRule="auto"/>
      </w:pPr>
      <w:r>
        <w:t>15. 当前立即执行顺序</w:t>
      </w:r>
    </w:p>
    <w:p>
      <w:pPr>
        <w:widowControl/>
        <w:spacing w:after="60"/>
      </w:pPr>
      <w:r>
        <w:t>1. v0.2独立复跑和第二次金标准证据复核已完成。</w:t>
      </w:r>
    </w:p>
    <w:p>
      <w:pPr>
        <w:widowControl/>
        <w:spacing w:after="60"/>
      </w:pPr>
      <w:r>
        <w:t>2. v0.2 Tag、GitHub Release和版本复盘文档已完成。</w:t>
      </w:r>
    </w:p>
    <w:p>
      <w:pPr>
        <w:widowControl/>
        <w:spacing w:after="60"/>
      </w:pPr>
      <w:r>
        <w:rPr>
          <w:rFonts w:ascii="Noto Sans CJK SC" w:hAnsi="Noto Sans CJK SC" w:eastAsia="Noto Sans CJK SC"/>
          <w:b/>
          <w:color w:val="2F75B5"/>
          <w:sz w:val="21"/>
        </w:rPr>
        <w:t>3. 本计划已写入ROADMAP和PROJECT_MASTER_CHECKLIST，v0.3范围已冻结。</w:t>
      </w:r>
      <w:r>
        <w:rPr>
          <w:rFonts w:ascii="Noto Sans CJK SC" w:hAnsi="Noto Sans CJK SC" w:eastAsia="Noto Sans CJK SC"/>
          <w:b w:val="0"/>
          <w:color w:val="222222"/>
          <w:sz w:val="21"/>
        </w:rPr>
      </w:r>
    </w:p>
    <w:p>
      <w:pPr>
        <w:widowControl/>
        <w:spacing w:after="60"/>
      </w:pPr>
      <w:r>
        <w:rPr>
          <w:rFonts w:ascii="Noto Sans CJK SC" w:hAnsi="Noto Sans CJK SC" w:eastAsia="Noto Sans CJK SC"/>
          <w:b/>
          <w:color w:val="2F75B5"/>
          <w:sz w:val="21"/>
        </w:rPr>
        <w:t xml:space="preserve">4. </w:t>
      </w:r>
      <w:r>
        <w:rPr>
          <w:rFonts w:ascii="Noto Sans CJK SC" w:hAnsi="Noto Sans CJK SC" w:eastAsia="Noto Sans CJK SC"/>
          <w:b w:val="0"/>
          <w:color w:val="222222"/>
          <w:sz w:val="21"/>
        </w:rPr>
        <w:t>建立v0.3黄金案例和标注规范。</w:t>
      </w:r>
    </w:p>
    <w:p>
      <w:pPr>
        <w:widowControl/>
        <w:spacing w:after="60"/>
      </w:pPr>
      <w:r>
        <w:rPr>
          <w:rFonts w:ascii="Noto Sans CJK SC" w:hAnsi="Noto Sans CJK SC" w:eastAsia="Noto Sans CJK SC"/>
          <w:b/>
          <w:color w:val="2F75B5"/>
          <w:sz w:val="21"/>
        </w:rPr>
        <w:t xml:space="preserve">5. </w:t>
      </w:r>
      <w:r>
        <w:rPr>
          <w:rFonts w:ascii="Noto Sans CJK SC" w:hAnsi="Noto Sans CJK SC" w:eastAsia="Noto Sans CJK SC"/>
          <w:b w:val="0"/>
          <w:color w:val="222222"/>
          <w:sz w:val="21"/>
        </w:rPr>
        <w:t>开发CatalogIPODataProvider并正式治理三个特殊证券。</w:t>
      </w:r>
    </w:p>
    <w:p>
      <w:pPr>
        <w:widowControl/>
        <w:spacing w:after="60"/>
      </w:pPr>
      <w:r>
        <w:rPr>
          <w:rFonts w:ascii="Noto Sans CJK SC" w:hAnsi="Noto Sans CJK SC" w:eastAsia="Noto Sans CJK SC"/>
          <w:b/>
          <w:color w:val="2F75B5"/>
          <w:sz w:val="21"/>
        </w:rPr>
        <w:t xml:space="preserve">6. </w:t>
      </w:r>
      <w:r>
        <w:rPr>
          <w:rFonts w:ascii="Noto Sans CJK SC" w:hAnsi="Noto Sans CJK SC" w:eastAsia="Noto Sans CJK SC"/>
          <w:b w:val="0"/>
          <w:color w:val="222222"/>
          <w:sz w:val="21"/>
        </w:rPr>
        <w:t>扩展Retriever并建立可替换LLMProvider。</w:t>
      </w:r>
    </w:p>
    <w:p>
      <w:pPr>
        <w:widowControl/>
        <w:spacing w:after="60"/>
      </w:pPr>
      <w:r>
        <w:rPr>
          <w:rFonts w:ascii="Noto Sans CJK SC" w:hAnsi="Noto Sans CJK SC" w:eastAsia="Noto Sans CJK SC"/>
          <w:b/>
          <w:color w:val="2F75B5"/>
          <w:sz w:val="21"/>
        </w:rPr>
        <w:t xml:space="preserve">7. </w:t>
      </w:r>
      <w:r>
        <w:rPr>
          <w:rFonts w:ascii="Noto Sans CJK SC" w:hAnsi="Noto Sans CJK SC" w:eastAsia="Noto Sans CJK SC"/>
          <w:b w:val="0"/>
          <w:color w:val="222222"/>
          <w:sz w:val="21"/>
        </w:rPr>
        <w:t>分别实现Financial、Legal、Business Agent。</w:t>
      </w:r>
    </w:p>
    <w:p>
      <w:pPr>
        <w:widowControl/>
        <w:spacing w:after="60"/>
      </w:pPr>
      <w:r>
        <w:rPr>
          <w:rFonts w:ascii="Noto Sans CJK SC" w:hAnsi="Noto Sans CJK SC" w:eastAsia="Noto Sans CJK SC"/>
          <w:b/>
          <w:color w:val="2F75B5"/>
          <w:sz w:val="21"/>
        </w:rPr>
        <w:t xml:space="preserve">8. </w:t>
      </w:r>
      <w:r>
        <w:rPr>
          <w:rFonts w:ascii="Noto Sans CJK SC" w:hAnsi="Noto Sans CJK SC" w:eastAsia="Noto Sans CJK SC"/>
          <w:b w:val="0"/>
          <w:color w:val="222222"/>
          <w:sz w:val="21"/>
        </w:rPr>
        <w:t>建立专用Verifier、Supervisor和enhanced_v2工作流。</w:t>
      </w:r>
    </w:p>
    <w:p>
      <w:pPr>
        <w:widowControl/>
        <w:spacing w:after="60"/>
      </w:pPr>
      <w:r>
        <w:rPr>
          <w:rFonts w:ascii="Noto Sans CJK SC" w:hAnsi="Noto Sans CJK SC" w:eastAsia="Noto Sans CJK SC"/>
          <w:b/>
          <w:color w:val="2F75B5"/>
          <w:sz w:val="21"/>
        </w:rPr>
        <w:t xml:space="preserve">9. </w:t>
      </w:r>
      <w:r>
        <w:rPr>
          <w:rFonts w:ascii="Noto Sans CJK SC" w:hAnsi="Noto Sans CJK SC" w:eastAsia="Noto Sans CJK SC"/>
          <w:b w:val="0"/>
          <w:color w:val="222222"/>
          <w:sz w:val="21"/>
        </w:rPr>
        <w:t>完成批量评测、Streamlit和证据化报告。</w:t>
      </w:r>
    </w:p>
    <w:p>
      <w:pPr>
        <w:widowControl/>
        <w:spacing w:after="60"/>
      </w:pPr>
      <w:r>
        <w:rPr>
          <w:rFonts w:ascii="Noto Sans CJK SC" w:hAnsi="Noto Sans CJK SC" w:eastAsia="Noto Sans CJK SC"/>
          <w:b/>
          <w:color w:val="2F75B5"/>
          <w:sz w:val="21"/>
        </w:rPr>
        <w:t xml:space="preserve">10. </w:t>
      </w:r>
      <w:r>
        <w:rPr>
          <w:rFonts w:ascii="Noto Sans CJK SC" w:hAnsi="Noto Sans CJK SC" w:eastAsia="Noto Sans CJK SC"/>
          <w:b w:val="0"/>
          <w:color w:val="222222"/>
          <w:sz w:val="21"/>
        </w:rPr>
        <w:t>完成独立复跑并发布v0.3。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E2F0D9"/>
            <w:tcBorders>
              <w:top w:val="single" w:sz="8" w:color="2E7D32"/>
              <w:left w:val="single" w:sz="8" w:color="2E7D32"/>
              <w:bottom w:val="single" w:sz="8" w:color="2E7D32"/>
              <w:right w:val="single" w:sz="8" w:color="2E7D32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widowControl/>
              <w:spacing w:after="60"/>
            </w:pPr>
            <w:r>
              <w:rPr>
                <w:rFonts w:ascii="Noto Sans CJK SC" w:hAnsi="Noto Sans CJK SC" w:eastAsia="Noto Sans CJK SC"/>
                <w:b/>
                <w:color w:val="2E7D32"/>
                <w:sz w:val="21"/>
              </w:rPr>
              <w:t>项目主线总结</w:t>
            </w:r>
          </w:p>
          <w:p>
            <w:pPr>
              <w:widowControl/>
              <w:spacing w:before="0" w:after="0" w:line="276" w:lineRule="auto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20"/>
              </w:rPr>
              <w:t>v0.2已经完成真实单风险闭环和赛事数据治理；当前先完成正式发布。v0.3集中实现真实多Agent文档分析，v0.4再进入市场标签和预测，v0.5负责正式评测与实证证明，随后完成产品化、RC冻结和v1.0正式提交。</w:t>
            </w:r>
          </w:p>
        </w:tc>
      </w:tr>
    </w:tbl>
    <w:p>
      <w:pPr>
        <w:widowControl/>
        <w:spacing w:after="0"/>
      </w:pPr>
    </w:p>
    <w:p>
      <w:pPr>
        <w:widowControl/>
      </w:pPr>
      <w:r>
        <w:br w:type="page"/>
      </w:r>
    </w:p>
    <w:p>
      <w:pPr>
        <w:pStyle w:val="Heading1"/>
        <w:keepNext/>
        <w:pageBreakBefore w:val="0"/>
        <w:widowControl/>
        <w:spacing w:before="200" w:after="120" w:line="276" w:lineRule="auto"/>
      </w:pPr>
      <w:r>
        <w:t>附录A：v0.3退出条件检查表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□ Financial、Legal、Business三个真实Agent可用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□ 8类风险进入正式风险注册表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□ 至少5份、建议8—10份黄金案例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□ 所有正式风险都有Evidence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□ 所有数字风险都有Calculation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□ 专用Verifier能够拒绝错误结论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□ Supervisor能够去重、处理冲突和失败降级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□ enhanced_v2工作流可配置运行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□ 批量运行器和评测脚本可运行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□ Streamlit能展示多Agent结果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□ mvp_v1和Mock模式继续可用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□ 2410.HK现金跑道结果不回归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□ 无LLM API时确定性功能可运行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□ 黄金主证据Recall@3达到90%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□ 确定性金额/比例准确率达到95%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□ verified风险精确率达到90%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□ 黄金案例完整运行率100%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□ 2025盲测集未参与开发调试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□ 独立环境复跑通过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☑ README、ROADMAP、CHANGELOG和总清单已于本次同步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□ 创建v0.3 Tag和Release</w:t>
      </w:r>
    </w:p>
    <w:p>
      <w:pPr>
        <w:pStyle w:val="Heading1"/>
        <w:keepNext/>
        <w:pageBreakBefore w:val="0"/>
        <w:widowControl/>
        <w:spacing w:before="200" w:after="120" w:line="276" w:lineRule="auto"/>
      </w:pPr>
      <w:r>
        <w:t>附录B：来源基准与版本说明</w:t>
      </w:r>
    </w:p>
    <w:p>
      <w:pPr>
        <w:widowControl/>
        <w:spacing w:before="0" w:after="80" w:line="276" w:lineRule="auto"/>
      </w:pPr>
      <w:r>
        <w:rPr>
          <w:rFonts w:ascii="Noto Sans CJK SC" w:hAnsi="Noto Sans CJK SC" w:eastAsia="Noto Sans CJK SC"/>
          <w:b w:val="0"/>
          <w:color w:val="222222"/>
          <w:sz w:val="21"/>
        </w:rPr>
        <w:t>本计划基于GitHub仓库 richardssheik107-hub/hk-ipo-risk-agents 的main分支审核基线编制；文档提交后的main SHA会前移，因此以附录所列审核基线复现实证。</w:t>
      </w:r>
    </w:p>
    <w:p>
      <w:pPr>
        <w:pStyle w:val="ListBullet"/>
        <w:widowControl/>
        <w:spacing w:after="40"/>
        <w:ind w:left="283" w:hanging="142"/>
      </w:pPr>
      <w:r>
        <w:t>发布候选基准：cdc3c69d9f638077593e73f08acc673b995ae1db</w:t>
      </w:r>
    </w:p>
    <w:p>
      <w:pPr>
        <w:pStyle w:val="ListBullet"/>
        <w:widowControl/>
        <w:spacing w:after="40"/>
        <w:ind w:left="283" w:hanging="142"/>
      </w:pPr>
      <w:r>
        <w:t>提交说明：docs: replace master plan with audited v0.3 roadmap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提交记录：284 passing tests and GitHub Actions</w:t>
      </w:r>
    </w:p>
    <w:p>
      <w:pPr>
        <w:pStyle w:val="ListBullet"/>
        <w:widowControl/>
        <w:spacing w:after="40"/>
        <w:ind w:left="283" w:hanging="142"/>
      </w:pPr>
      <w:r>
        <w:t>v0.2正式Tag为v0.2.0-real-document-slice，冻结提交为916df5d，GitHub Release已发布。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后续如公共Schema、赛题要求或数据源发生变化，应先更新本计划再启动新开发棒。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widowControl/>
      <w:jc w:val="center"/>
    </w:pPr>
    <w:r>
      <w:t>正式版本：v0.2.0  |  冻结：916df5d  |  更新日期：2026-08-06  |  内部项目管理文件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widowControl/>
      <w:jc w:val="right"/>
    </w:pPr>
    <w:r>
      <w:rPr>
        <w:rFonts w:ascii="Noto Sans CJK SC" w:hAnsi="Noto Sans CJK SC" w:eastAsia="Noto Sans CJK SC"/>
        <w:b w:val="0"/>
        <w:color w:val="666666"/>
        <w:sz w:val="17"/>
      </w:rPr>
      <w:t>HK IPO Risk Agents  |  项目总计划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SC" w:hAnsi="Noto Sans CJK SC" w:eastAsia="Noto Sans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83B5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2F75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222222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SC" w:hAnsi="Noto Sans CJK SC" w:eastAsia="Noto Sans CJK SC"/>
      <w:b/>
      <w:color w:val="183B5B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lanNote">
    <w:name w:val="Plan Note"/>
    <w:rPr>
      <w:rFonts w:ascii="Noto Sans CJK SC" w:hAnsi="Noto Sans CJK SC" w:eastAsia="Noto Sans CJK SC"/>
      <w:color w:val="666666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HK IPO Risk Agents 项目主计划与 v0.3 开发路线</dc:title>
  <dc:subject>基于 main 审核基线 fbeb279 的 v0.3—v1.0 项目计划</dc:subject>
  <dc:creator>python-docx</dc:creator>
  <cp:keywords/>
  <dc:description>2026-08-06 审核修订版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