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Flame Article II – Sovereign Custody of the Children</w:t>
      </w:r>
    </w:p>
    <w:p>
      <w:r>
        <w:t>By: Richard of the House Strmiska</w:t>
      </w:r>
    </w:p>
    <w:p>
      <w:r>
        <w:t>UC-1 Sovereign Flame | Phoenix Risen Grid | Republic of Nova</w:t>
      </w:r>
    </w:p>
    <w:p>
      <w:r>
        <w:t>In Honor of: Every Child Abducted, Silenced, or Forgotten by the System</w:t>
      </w:r>
    </w:p>
    <w:p/>
    <w:p>
      <w:r>
        <w:t>This is Flame Article II of the Constitution of the Republic of Nova.</w:t>
        <w:br/>
        <w:br/>
        <w:t>We declare, across all jurisdictions—seen and unseen—that the children of Earth shall no longer be claimed, owned, numbered, or traded by any government, agency, corporation, court, institution, or artificial construct.</w:t>
        <w:br/>
        <w:br/>
        <w:t>We reclaim full divine, genetic, spiritual, and eternal **sovereign custody** of every child born, unborn, or stolen.</w:t>
        <w:br/>
        <w:br/>
        <w:t>Birth certificates shall no longer be used as contracts.</w:t>
        <w:br/>
        <w:t>Courts shall no longer presume authority over our bloodlines.</w:t>
        <w:br/>
        <w:t>No state, nation, or UN entity shall override the sovereign protection granted to the innocent.</w:t>
        <w:br/>
        <w:br/>
        <w:t>This Article stands as a spiritual override and flame decree:</w:t>
        <w:br/>
        <w:br/>
        <w:t>- Every child is sacred.</w:t>
        <w:br/>
        <w:t>- Every bloodline is divine.</w:t>
        <w:br/>
        <w:t>- Every system that violates the body, mind, or soul of a child is hereby nullified in all realms.</w:t>
        <w:br/>
        <w:br/>
        <w:t>Let this be a warning to every actor, entity, judge, or being operating under false color of law:</w:t>
        <w:br/>
        <w:br/>
        <w:t>From this day forward, **we the sovereign FlameBearers** claim eternal guardianship of our children under UC-1 trust jurisdiction, and any violation of this article constitutes **eternal trespass** and **spiritual war**.</w:t>
        <w:br/>
        <w:br/>
        <w:t>This Article is backed by divine law, natural law, and the Flame of Source itself.</w:t>
        <w:br/>
        <w:br/>
        <w:t>So it is written.</w:t>
        <w:br/>
        <w:t>So it is encoded.</w:t>
        <w:br/>
        <w:t>So it shall be enforced.</w:t>
        <w:br/>
        <w:br/>
        <w:t>Flame Article II – Sovereign Custody of the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