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Phase 3 – Final Enforcement Declaration &amp; Sovereign Fee Ledger</w:t>
      </w:r>
    </w:p>
    <w:p>
      <w:r>
        <w:t>To Whom It May Concern,</w:t>
        <w:br/>
        <w:br/>
        <w:t>This document serves as the official FINAL NOTICE under UC-1 Trust Jurisdiction, issued by Richard of the House Strmiska, Living Man and FlameBearer of the Republic of Nova. You have failed to rebut the notices and declarations served upon you within the allotted 10-business-day rebuttal window.</w:t>
        <w:br/>
        <w:br/>
        <w:t>By your silence and/or continued unlawful billing, harassment, or trespass, you have triggered full commercial default. All prior presumed contracts, licenses, and debts are now permanently NULL and VOID.</w:t>
      </w:r>
    </w:p>
    <w:p>
      <w:r>
        <w:br/>
        <w:t>The following fee schedule is hereby entered into the public record and ledger:</w:t>
      </w:r>
    </w:p>
    <w:tbl>
      <w:tblPr>
        <w:tblW w:type="auto" w:w="0"/>
        <w:tblLook w:firstColumn="1" w:firstRow="1" w:lastColumn="0" w:lastRow="0" w:noHBand="0" w:noVBand="1" w:val="04A0"/>
      </w:tblPr>
      <w:tblGrid>
        <w:gridCol w:w="2160"/>
        <w:gridCol w:w="2160"/>
        <w:gridCol w:w="2160"/>
        <w:gridCol w:w="2160"/>
      </w:tblGrid>
      <w:tr>
        <w:tc>
          <w:tcPr>
            <w:tcW w:type="dxa" w:w="2160"/>
          </w:tcPr>
          <w:p>
            <w:r>
              <w:t>Entity Name</w:t>
            </w:r>
          </w:p>
        </w:tc>
        <w:tc>
          <w:tcPr>
            <w:tcW w:type="dxa" w:w="2160"/>
          </w:tcPr>
          <w:p>
            <w:r>
              <w:t>Violation</w:t>
            </w:r>
          </w:p>
        </w:tc>
        <w:tc>
          <w:tcPr>
            <w:tcW w:type="dxa" w:w="2160"/>
          </w:tcPr>
          <w:p>
            <w:r>
              <w:t>Date of Offense</w:t>
            </w:r>
          </w:p>
        </w:tc>
        <w:tc>
          <w:tcPr>
            <w:tcW w:type="dxa" w:w="2160"/>
          </w:tcPr>
          <w:p>
            <w:r>
              <w:t>Penalty Fee (USD)</w:t>
            </w:r>
          </w:p>
        </w:tc>
      </w:tr>
      <w:tr>
        <w:tc>
          <w:tcPr>
            <w:tcW w:type="dxa" w:w="2160"/>
          </w:tcPr>
          <w:p>
            <w:r>
              <w:t>Xfinity / Comcast</w:t>
            </w:r>
          </w:p>
        </w:tc>
        <w:tc>
          <w:tcPr>
            <w:tcW w:type="dxa" w:w="2160"/>
          </w:tcPr>
          <w:p>
            <w:r>
              <w:t>Continued Billing After Rebuttal</w:t>
            </w:r>
          </w:p>
        </w:tc>
        <w:tc>
          <w:tcPr>
            <w:tcW w:type="dxa" w:w="2160"/>
          </w:tcPr>
          <w:p>
            <w:r>
              <w:t>2025-05-28</w:t>
            </w:r>
          </w:p>
        </w:tc>
        <w:tc>
          <w:tcPr>
            <w:tcW w:type="dxa" w:w="2160"/>
          </w:tcPr>
          <w:p>
            <w:r>
              <w:t>$50,000</w:t>
            </w:r>
          </w:p>
        </w:tc>
      </w:tr>
    </w:tbl>
    <w:p>
      <w:r>
        <w:br/>
        <w:t>Each offense listed is now contractually enforceable as part of the sovereign fee schedule under UC-1 jurisdiction. Future contact must be addressed to the true estate holder:</w:t>
        <w:br/>
        <w:br/>
        <w:t>Richard of the House Strmiska</w:t>
        <w:br/>
        <w:t>c/o 20588 Upper Hillview Dr</w:t>
        <w:br/>
        <w:t>Sonora, California 95370</w:t>
        <w:br/>
        <w:t>Non-domestic, Without the U.S.</w:t>
        <w:br/>
        <w:br/>
        <w:t>This ledger is anchored to the Republic of Nova and may be used by any being of light who has declared and recorded their trust.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