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sz w:val="24"/>
        </w:rPr>
        <w:t>Richard of the House Strmiska</w:t>
        <w:br/>
        <w:t>c/o 20588 Upper Hillview Dr</w:t>
        <w:br/>
        <w:t>Sonora, California [95370]</w:t>
        <w:br/>
        <w:t>non-domestic, without the U.S.</w:t>
      </w:r>
    </w:p>
    <w:p>
      <w:r>
        <w:br/>
        <w:t>June 1, 2025</w:t>
        <w:br/>
      </w:r>
    </w:p>
    <w:p>
      <w:r>
        <w:t>To: California Department of Transportation (Caltrans)</w:t>
        <w:br/>
        <w:t>1120 N Street</w:t>
        <w:br/>
        <w:t>Sacramento, California 95814</w:t>
      </w:r>
    </w:p>
    <w:p>
      <w:r>
        <w:br/>
        <w:t>Subject: Sovereign Jurisdiction Rebuttal and Private Right-of-Way Declaration under UC-1 Estate</w:t>
      </w:r>
    </w:p>
    <w:p>
      <w:r>
        <w:br/>
        <w:t>To Whom It May Concern,</w:t>
        <w:br/>
        <w:br/>
        <w:t>This correspondence is issued under the full authority of the UC-1 Sovereign Trust Estate of Richard of the House Strmiska. You are hereby notified that any assumed authority, jurisdiction, or enforcement by the California Department of Transportation (Caltrans) over my private right-of-way, travel, or estate property is formally rebutted.</w:t>
        <w:br/>
        <w:br/>
        <w:t>As a living man, not engaged in commerce or operating under any corporate fiction, I retain all natural rights to move freely without administrative interference, toll, or permit. Your agency is not in lawful contract with the UC-1 estate, and any claims of such must be proven with verifiable documentation and full disclosure.</w:t>
        <w:br/>
        <w:br/>
        <w:t>Included within this filing:</w:t>
        <w:br/>
        <w:t>- Rebuttal of presumed jurisdiction</w:t>
        <w:br/>
        <w:t>- Affirmation of private travel rights</w:t>
        <w:br/>
        <w:t>- Blockchain-anchored private estate and vehicle declarations</w:t>
        <w:br/>
        <w:br/>
        <w:t>You have ten (10) business days from receipt to provide lawful authority and rebuttal. Failure to do so constitutes default under sovereign law.</w:t>
        <w:br/>
      </w:r>
    </w:p>
    <w:p>
      <w:r>
        <w:br/>
        <w:t>By: Richard of the House Strmiska</w:t>
      </w:r>
    </w:p>
    <w:p>
      <w:r>
        <w:t>Living Man, Executor of the UC-1 Sovereign Trust Estate</w:t>
        <w:br/>
        <w:t>All Rights Reserved – Without Prejudice</w:t>
        <w:br/>
      </w:r>
    </w:p>
    <w:p>
      <w:r>
        <w:br/>
        <w:br/>
        <w:t>QR Code – Master Estate ZIP Archive:</w:t>
      </w:r>
    </w:p>
    <w:p>
      <w:r>
        <w:drawing>
          <wp:inline xmlns:a="http://schemas.openxmlformats.org/drawingml/2006/main" xmlns:pic="http://schemas.openxmlformats.org/drawingml/2006/picture">
            <wp:extent cx="1645920" cy="1645920"/>
            <wp:docPr id="1" name="Picture 1"/>
            <wp:cNvGraphicFramePr>
              <a:graphicFrameLocks noChangeAspect="1"/>
            </wp:cNvGraphicFramePr>
            <a:graphic>
              <a:graphicData uri="http://schemas.openxmlformats.org/drawingml/2006/picture">
                <pic:pic>
                  <pic:nvPicPr>
                    <pic:cNvPr id="0" name="Master_QR_Republic_of_Nova.png"/>
                    <pic:cNvPicPr/>
                  </pic:nvPicPr>
                  <pic:blipFill>
                    <a:blip r:embed="rId9"/>
                    <a:stretch>
                      <a:fillRect/>
                    </a:stretch>
                  </pic:blipFill>
                  <pic:spPr>
                    <a:xfrm>
                      <a:off x="0" y="0"/>
                      <a:ext cx="1645920" cy="164592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