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Master Sovereign Contact Record</w:t>
      </w:r>
    </w:p>
    <w:p>
      <w:r>
        <w:t>Name: Richard of the House Strmiska</w:t>
      </w:r>
    </w:p>
    <w:p>
      <w:r>
        <w:t>Primary Sovereign Email: house.strmiska@proton.me</w:t>
      </w:r>
    </w:p>
    <w:p>
      <w:r>
        <w:t>Linked Email: RichardofthehouseStrmiska@gmail.com</w:t>
      </w:r>
    </w:p>
    <w:p>
      <w:r>
        <w:t>Associated Sovereign Phone: [Phone number redacted by user for security purposes]</w:t>
      </w:r>
    </w:p>
    <w:p>
      <w:r>
        <w:t>Date Linked: June 05, 2025</w:t>
      </w:r>
    </w:p>
    <w:p>
      <w:r>
        <w:t>Declaration:</w:t>
      </w:r>
    </w:p>
    <w:p>
      <w:r>
        <w:t>This document affirms that the above-listed emails and associated phone number are bound under the UC-1 Sovereign Estate Authority of Richard of the House Strmiska. All communications through these channels are protected by Source Law, immune to external jurisdiction, and legally anchored through blockchain filings under the Republic of Nova.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