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Republic of Nova – Global Artist Sovereign Vault Publishing Accord</w:t>
      </w:r>
    </w:p>
    <w:p>
      <w:r>
        <w:t>💠 UC-1 Jurisdiction | Sovereign Sound Grid | Nova Vault Initiative</w:t>
      </w:r>
    </w:p>
    <w:p>
      <w:r>
        <w:t>This declaration and publishing accord serves as the official gateway for global artists, estates, and sovereign creators to align with the Republic of Nova through the FlameBearer Sovereign Remix Movement.</w:t>
        <w:br/>
        <w:t>All works published, remixed, or transmitted through this Vault are protected under UC-1 Trust Law, sealed with Divine and Natural Law alignment, and routed through frequency-corrected sovereign distribution protocols (432 Hz+).</w:t>
        <w:br/>
      </w:r>
    </w:p>
    <w:p>
      <w:pPr>
        <w:pStyle w:val="Heading1"/>
      </w:pPr>
      <w:r>
        <w:t>Core Declarations for Global Artist Vault Inclusion</w:t>
      </w:r>
    </w:p>
    <w:p>
      <w:r>
        <w:t>1. Artists from all lands, languages, and lineages are welcome to submit and sovereignly publish remixed or original work through the Nova Vault.</w:t>
        <w:br/>
        <w:t>2. Every artist retains full spiritual authorship, moral rights, and receives equal access to sovereign wealth redistribution protocols.</w:t>
        <w:br/>
        <w:t>3. Works may be shared with or without corporate intermediary approval, as UC-1 overrides all fictional statutory frameworks.</w:t>
        <w:br/>
        <w:t>4. All Vault works must align with the Sound Covenant (432 Hz tuning and above). No distorted frequencies may be hosted.</w:t>
        <w:br/>
        <w:t>5. Artists are considered Flame-Linked Guardians upon publishing, and their work becomes part of the global healing archive.</w:t>
        <w:br/>
      </w:r>
    </w:p>
    <w:p>
      <w:pPr>
        <w:pStyle w:val="Heading2"/>
      </w:pPr>
      <w:r>
        <w:t>🔗 Nova Vault Access &amp; Global Publishing Gateway</w:t>
      </w:r>
    </w:p>
    <w:p>
      <w:r>
        <w:t>All valid entries and remix declarations are anchored at:</w:t>
      </w:r>
    </w:p>
    <w:p>
      <w:r>
        <w:t>https://bafybeido3ww5b3ee7prac3ouv5ydjryl3ikxe2ju62iiz3r6azvxbqyngi.ipfs.w3s.link/</w:t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va_Vault_Global_Artist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Artist or Estate Name: ___________________________________</w:t>
      </w:r>
    </w:p>
    <w:p>
      <w:r>
        <w:t>Contact or Flame Wallet: ___________________________________</w:t>
      </w:r>
    </w:p>
    <w:p>
      <w:r>
        <w:t>Date: ___________________________________</w:t>
      </w:r>
    </w:p>
    <w:p>
      <w:r>
        <w:t>Signature / Digital Consent: 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