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UC-1 Flame Enforcement: Global Entity Notification Scroll</w:t>
      </w:r>
    </w:p>
    <w:p>
      <w:r>
        <w:t>This Visual Scroll constitutes final notice to the following global entities. Sovereign Flame Enforcement under UC-1 Phoenix Risen Jurisdiction is now fully in effect. All listed entities are hereby bound by Flame, Protected by Trust, and Timed by the Ledger.</w:t>
      </w:r>
    </w:p>
    <w:p>
      <w:pPr>
        <w:pStyle w:val="Heading2"/>
      </w:pPr>
      <w:r>
        <w:t>U.S. Treasury</w:t>
      </w:r>
    </w:p>
    <w:p>
      <w:pPr>
        <w:pStyle w:val="ListBullet"/>
      </w:pPr>
      <w:r>
        <w:t>public.affairs@occ.treas.gov</w:t>
      </w:r>
    </w:p>
    <w:p>
      <w:pPr>
        <w:pStyle w:val="ListBullet"/>
      </w:pPr>
      <w:r>
        <w:t>debt.management@fiscal.treasury.gov</w:t>
      </w:r>
    </w:p>
    <w:p>
      <w:pPr>
        <w:pStyle w:val="ListBullet"/>
      </w:pPr>
      <w:r>
        <w:t>frbservices@fiscal.treasury.gov</w:t>
      </w:r>
    </w:p>
    <w:p>
      <w:pPr>
        <w:pStyle w:val="ListBullet"/>
      </w:pPr>
      <w:r>
        <w:t>ofac_feedback@treasury.gov</w:t>
      </w:r>
    </w:p>
    <w:p>
      <w:pPr>
        <w:pStyle w:val="ListBullet"/>
      </w:pPr>
      <w:r>
        <w:t>fincen.govcontact@fincen.gov</w:t>
      </w:r>
    </w:p>
    <w:p>
      <w:pPr>
        <w:pStyle w:val="ListBullet"/>
      </w:pPr>
      <w:r>
        <w:t>fsoc.stakeholders@treasury.gov</w:t>
      </w:r>
    </w:p>
    <w:p>
      <w:pPr>
        <w:pStyle w:val="ListBullet"/>
      </w:pPr>
      <w:r>
        <w:t>oig@oig.treas.gov</w:t>
      </w:r>
    </w:p>
    <w:p>
      <w:pPr>
        <w:pStyle w:val="ListBullet"/>
      </w:pPr>
      <w:r>
        <w:t>execsec@treasury.gov</w:t>
      </w:r>
    </w:p>
    <w:p>
      <w:pPr>
        <w:pStyle w:val="ListBullet"/>
      </w:pPr>
      <w:r>
        <w:t>correspondence@treasury.gov</w:t>
      </w:r>
    </w:p>
    <w:p>
      <w:pPr>
        <w:pStyle w:val="ListBullet"/>
      </w:pPr>
      <w:r>
        <w:t>treasury.publicaffairs@treasury.gov</w:t>
      </w:r>
    </w:p>
    <w:p>
      <w:pPr>
        <w:pStyle w:val="Heading2"/>
      </w:pPr>
      <w:r>
        <w:t>District of Columbia / Government Entities</w:t>
      </w:r>
    </w:p>
    <w:p>
      <w:pPr>
        <w:pStyle w:val="ListBullet"/>
      </w:pPr>
      <w:r>
        <w:t>olc@dc.gov</w:t>
      </w:r>
    </w:p>
    <w:p>
      <w:pPr>
        <w:pStyle w:val="ListBullet"/>
      </w:pPr>
      <w:r>
        <w:t>clerkofcourt@dcappeals.gov</w:t>
      </w:r>
    </w:p>
    <w:p>
      <w:pPr>
        <w:pStyle w:val="ListBullet"/>
      </w:pPr>
      <w:r>
        <w:t>cfo@dc.gov</w:t>
      </w:r>
    </w:p>
    <w:p>
      <w:pPr>
        <w:pStyle w:val="ListBullet"/>
      </w:pPr>
      <w:r>
        <w:t>vital.records@dc.gov</w:t>
      </w:r>
    </w:p>
    <w:p>
      <w:pPr>
        <w:pStyle w:val="Heading2"/>
      </w:pPr>
      <w:r>
        <w:t>City of London</w:t>
      </w:r>
    </w:p>
    <w:p>
      <w:pPr>
        <w:pStyle w:val="ListBullet"/>
      </w:pPr>
      <w:r>
        <w:t>financial.services@cityoflondon.gov.uk</w:t>
      </w:r>
    </w:p>
    <w:p>
      <w:pPr>
        <w:pStyle w:val="ListBullet"/>
      </w:pPr>
      <w:r>
        <w:t>general.enquiries@cityoflondon.gov.uk</w:t>
      </w:r>
    </w:p>
    <w:p>
      <w:pPr>
        <w:pStyle w:val="Heading2"/>
      </w:pPr>
      <w:r>
        <w:t>United Nations</w:t>
      </w:r>
    </w:p>
    <w:p>
      <w:pPr>
        <w:pStyle w:val="ListBullet"/>
      </w:pPr>
      <w:r>
        <w:t>inquiries@un.org</w:t>
      </w:r>
    </w:p>
    <w:p>
      <w:pPr>
        <w:pStyle w:val="ListBullet"/>
      </w:pPr>
      <w:r>
        <w:t>protocol@un.org</w:t>
      </w:r>
    </w:p>
    <w:p>
      <w:pPr>
        <w:pStyle w:val="ListBullet"/>
      </w:pPr>
      <w:r>
        <w:t>dc1documents@un.org</w:t>
      </w:r>
    </w:p>
    <w:p>
      <w:pPr>
        <w:pStyle w:val="Heading2"/>
      </w:pPr>
      <w:r>
        <w:t>World Economic Forum</w:t>
      </w:r>
    </w:p>
    <w:p>
      <w:pPr>
        <w:pStyle w:val="ListBullet"/>
      </w:pPr>
      <w:r>
        <w:t>contact@weforum.org</w:t>
      </w:r>
    </w:p>
    <w:p>
      <w:pPr>
        <w:pStyle w:val="ListBullet"/>
      </w:pPr>
      <w:r>
        <w:t>public.affairs@weforum.org</w:t>
      </w:r>
    </w:p>
    <w:p>
      <w:pPr>
        <w:pStyle w:val="Heading2"/>
      </w:pPr>
      <w:r>
        <w:t>World Health Organization</w:t>
      </w:r>
    </w:p>
    <w:p>
      <w:pPr>
        <w:pStyle w:val="ListBullet"/>
      </w:pPr>
      <w:r>
        <w:t>mediainquiries@who.int</w:t>
      </w:r>
    </w:p>
    <w:p>
      <w:pPr>
        <w:pStyle w:val="ListBullet"/>
      </w:pPr>
      <w:r>
        <w:t>webmaster@who.int</w:t>
      </w:r>
    </w:p>
    <w:p>
      <w:pPr>
        <w:pStyle w:val="ListBullet"/>
      </w:pPr>
      <w:r>
        <w:t>infocenter@who.int</w:t>
      </w:r>
    </w:p>
    <w:p>
      <w:pPr>
        <w:pStyle w:val="Heading2"/>
      </w:pPr>
      <w:r>
        <w:t>International Monetary Fund</w:t>
      </w:r>
    </w:p>
    <w:p>
      <w:pPr>
        <w:pStyle w:val="ListBullet"/>
      </w:pPr>
      <w:r>
        <w:t>publicaffairs@imf.org</w:t>
      </w:r>
    </w:p>
    <w:p>
      <w:pPr>
        <w:pStyle w:val="ListBullet"/>
      </w:pPr>
      <w:r>
        <w:t>externalrelations@imf.org</w:t>
      </w:r>
    </w:p>
    <w:p>
      <w:pPr>
        <w:pStyle w:val="Heading2"/>
      </w:pPr>
      <w:r>
        <w:t>Bank for International Settlements</w:t>
      </w:r>
    </w:p>
    <w:p>
      <w:pPr>
        <w:pStyle w:val="ListBullet"/>
      </w:pPr>
      <w:r>
        <w:t>press.service@bis.org</w:t>
      </w:r>
    </w:p>
    <w:p>
      <w:pPr>
        <w:pStyle w:val="ListBullet"/>
      </w:pPr>
      <w:r>
        <w:t>info@bis.org</w:t>
      </w:r>
    </w:p>
    <w:p>
      <w:r>
        <w:br/>
        <w:t>Anchored Ledger Record:</w:t>
      </w:r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code_uc1_global_noti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All recipients are now under notice and held to account under UC-1 Flame Protocol. Violations invoke automatic $111M/day fines in UC-1 sovereign ledger terms. You are bound by Flame. Protected by Trust. Timed by the Ledger.</w:t>
        <w:br/>
      </w:r>
    </w:p>
    <w:p>
      <w:r>
        <w:t>Richard of the House Strmiska</w:t>
        <w:br/>
        <w:t>UC-1 Sovereign FlameBearer</w:t>
        <w:br/>
        <w:t>Republic of Nova</w:t>
        <w:br/>
        <w:t>flamebearer17.richard@proton.me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