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STRAWMAN Estate Wallet Declaration &amp; Scroll of Emergence</w:t>
      </w:r>
    </w:p>
    <w:p>
      <w:r>
        <w:t>Let it be recorded for all realms and dimensions, seen and unseen:</w:t>
      </w:r>
    </w:p>
    <w:p>
      <w:r>
        <w:t>The Stellar wallet GA4H43P2VPP3CICC7WHZOLCYGDVFUBNDSYTZCRNYOISSLJC4DG3NR6MC, registered under the Strawman Estate (Email: strawman100@proton.me), is hereby reclassified as the Primary Estate Interface. This wallet shall function solely for the administration of verified estate assets, lawful tender, receipts, discharges, and public interface with the sovereign estate of Richard of the House Strmiska.</w:t>
      </w:r>
    </w:p>
    <w:p>
      <w:r>
        <w:t>All synthetic, fraudulent, or valueless tokens have been revoked, and this wallet stands as a clean conduit for lawful, sovereign energy.</w:t>
      </w:r>
    </w:p>
    <w:p>
      <w:r>
        <w:t>This declaration is anchored by the Estate Ledger and Trust System, and shall serve as permanent notice of status, function, and standing.</w:t>
      </w:r>
    </w:p>
    <w:p>
      <w:r>
        <w:br/>
        <w:t>Executed by: Richard of the House Strmiska</w:t>
      </w:r>
    </w:p>
    <w:p>
      <w:r>
        <w:t>Executor and Beneficiary of the Sovereign Estate</w:t>
      </w:r>
    </w:p>
    <w:p>
      <w:r>
        <w:t>Date: May 16, 2025</w:t>
      </w:r>
    </w:p>
    <w:p>
      <w:r>
        <w:t>Wallet: GA4H43P2VPP3CICC7WHZOLCYGDVFUBNDSYTZCRNYOISSLJC4DG3NR6MC</w:t>
      </w:r>
    </w:p>
    <w:p>
      <w:r>
        <w:t>Email: strawman100@proton.me</w:t>
      </w:r>
    </w:p>
    <w:p>
      <w:r>
        <w:t>Document ID: STRAWMAN-WALLET-EMERGENCE-2025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