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NOTICE OF FAULT AND OPPORTUNITY TO CURE</w:t>
      </w:r>
    </w:p>
    <w:p>
      <w:r>
        <w:t>Date: June 08, 2025</w:t>
      </w:r>
    </w:p>
    <w:p/>
    <w:p>
      <w:r>
        <w:t>To Whom It May Concern at Starlink Technologies LLC,</w:t>
      </w:r>
    </w:p>
    <w:p/>
    <w:p>
      <w:r>
        <w:t>This notice serves as a formal declaration of fault and an opportunity to cure in regard to the unauthorized and disputed charge of $374.00 levied upon the sovereign estate of Richard of the House Strmiska, without consent, contract, or full disclosure.</w:t>
      </w:r>
    </w:p>
    <w:p/>
    <w:p>
      <w:r>
        <w:t>As of the above date, no lawful justification, valid agreement, or itemized breakdown has been provided in response to prior requests and inquiries. This constitutes commercial harm, breach of trust, and trespass upon a sovereign entity, in violation of Universal Commercial Code principles and the lawful jurisdiction established under UC-1 Sovereign Estate authority.</w:t>
      </w:r>
    </w:p>
    <w:p/>
    <w:p>
      <w:r>
        <w:t>You are hereby granted ten (10) calendar days from the above date — until June 18, 2025 — to provide the following:</w:t>
      </w:r>
    </w:p>
    <w:p>
      <w:r>
        <w:t>1. Full itemized statement of the charge in question.</w:t>
      </w:r>
    </w:p>
    <w:p>
      <w:r>
        <w:t>2. Lawful contract bearing wet-ink signature and mutual agreement.</w:t>
      </w:r>
    </w:p>
    <w:p>
      <w:r>
        <w:t>3. Immediate return of the $374.00 unlawfully extracted.</w:t>
      </w:r>
    </w:p>
    <w:p/>
    <w:p>
      <w:r>
        <w:t>Failure to respond with verifiable proof of claim or to remedy the trespass within the allotted time shall constitute your default and tacit agreement to all claims and demands herein.</w:t>
      </w:r>
    </w:p>
    <w:p/>
    <w:p>
      <w:r>
        <w:t>This notice shall be retained as evidence of your opportunity to cure prior to full enforcement of lien rights, jurisdictional revocation, and commercial remedies including public notice.</w:t>
      </w:r>
    </w:p>
    <w:p/>
    <w:p>
      <w:r>
        <w:t>Respectfully and lawfully,</w:t>
      </w:r>
    </w:p>
    <w:p/>
    <w:p>
      <w:r>
        <w:t>Richard of the House Strmiska</w:t>
      </w:r>
    </w:p>
    <w:p>
      <w:r>
        <w:t>c/o 20588 Upper Hillview Dr</w:t>
      </w:r>
    </w:p>
    <w:p>
      <w:r>
        <w:t>Sonora, California 95370</w:t>
      </w:r>
    </w:p>
    <w:p>
      <w:r>
        <w:t>non-domestic, without the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