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"/>
        <w:gridCol w:w="1710"/>
        <w:gridCol w:w="2430"/>
        <w:gridCol w:w="2430"/>
        <w:gridCol w:w="2430"/>
        <w:gridCol w:w="288"/>
      </w:tblGrid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</w:tr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:rsidR="00390B5C" w:rsidRPr="00390B5C" w:rsidRDefault="00390B5C">
            <w:pPr>
              <w:rPr>
                <w:b/>
              </w:rPr>
            </w:pPr>
            <w:r w:rsidRPr="00390B5C">
              <w:rPr>
                <w:b/>
              </w:rPr>
              <w:t>Criteria</w:t>
            </w:r>
          </w:p>
        </w:tc>
        <w:tc>
          <w:tcPr>
            <w:tcW w:w="2430" w:type="dxa"/>
            <w:tcBorders>
              <w:top w:val="nil"/>
            </w:tcBorders>
            <w:shd w:val="clear" w:color="auto" w:fill="F2F2F2" w:themeFill="background1" w:themeFillShade="F2"/>
          </w:tcPr>
          <w:p w:rsidR="00390B5C" w:rsidRPr="00895E2C" w:rsidRDefault="00390B5C" w:rsidP="00390B5C">
            <w:pPr>
              <w:jc w:val="center"/>
              <w:rPr>
                <w:b/>
                <w:sz w:val="24"/>
                <w:szCs w:val="24"/>
              </w:rPr>
            </w:pPr>
            <w:r w:rsidRPr="00895E2C">
              <w:rPr>
                <w:b/>
                <w:sz w:val="24"/>
                <w:szCs w:val="24"/>
              </w:rPr>
              <w:t>Popular</w:t>
            </w:r>
          </w:p>
        </w:tc>
        <w:tc>
          <w:tcPr>
            <w:tcW w:w="2430" w:type="dxa"/>
            <w:tcBorders>
              <w:top w:val="nil"/>
            </w:tcBorders>
            <w:shd w:val="clear" w:color="auto" w:fill="F2F2F2" w:themeFill="background1" w:themeFillShade="F2"/>
          </w:tcPr>
          <w:p w:rsidR="00390B5C" w:rsidRPr="00895E2C" w:rsidRDefault="00390B5C" w:rsidP="00390B5C">
            <w:pPr>
              <w:jc w:val="center"/>
              <w:rPr>
                <w:b/>
                <w:sz w:val="24"/>
                <w:szCs w:val="24"/>
              </w:rPr>
            </w:pPr>
            <w:r w:rsidRPr="00895E2C">
              <w:rPr>
                <w:b/>
                <w:sz w:val="24"/>
                <w:szCs w:val="24"/>
              </w:rPr>
              <w:t>Scholarly</w:t>
            </w:r>
          </w:p>
        </w:tc>
        <w:tc>
          <w:tcPr>
            <w:tcW w:w="2430" w:type="dxa"/>
            <w:tcBorders>
              <w:top w:val="nil"/>
              <w:right w:val="nil"/>
            </w:tcBorders>
            <w:shd w:val="clear" w:color="auto" w:fill="F2F2F2" w:themeFill="background1" w:themeFillShade="F2"/>
          </w:tcPr>
          <w:p w:rsidR="00390B5C" w:rsidRPr="00895E2C" w:rsidRDefault="00390B5C" w:rsidP="00390B5C">
            <w:pPr>
              <w:jc w:val="center"/>
              <w:rPr>
                <w:b/>
                <w:sz w:val="24"/>
                <w:szCs w:val="24"/>
              </w:rPr>
            </w:pPr>
            <w:r w:rsidRPr="00895E2C">
              <w:rPr>
                <w:b/>
                <w:sz w:val="24"/>
                <w:szCs w:val="24"/>
              </w:rPr>
              <w:t>Trade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</w:tr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left w:val="nil"/>
              <w:bottom w:val="single" w:sz="4" w:space="0" w:color="auto"/>
            </w:tcBorders>
          </w:tcPr>
          <w:p w:rsidR="00390B5C" w:rsidRPr="00390B5C" w:rsidRDefault="00390B5C">
            <w:pPr>
              <w:rPr>
                <w:b/>
              </w:rPr>
            </w:pPr>
            <w:r w:rsidRPr="00390B5C">
              <w:rPr>
                <w:b/>
              </w:rPr>
              <w:t>Purpose (Intent)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90B5C" w:rsidRDefault="00390B5C">
            <w:r w:rsidRPr="00390B5C">
              <w:t>To inform, entertain, or persuade about current events or popular opinion and to make money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90B5C" w:rsidRDefault="00390B5C">
            <w:r w:rsidRPr="00390B5C">
              <w:t>To inform, report, or make available original research, promote scholarly communication, or advance knowledge</w:t>
            </w:r>
          </w:p>
        </w:tc>
        <w:tc>
          <w:tcPr>
            <w:tcW w:w="2430" w:type="dxa"/>
            <w:tcBorders>
              <w:bottom w:val="single" w:sz="4" w:space="0" w:color="auto"/>
              <w:right w:val="nil"/>
            </w:tcBorders>
          </w:tcPr>
          <w:p w:rsidR="00390B5C" w:rsidRDefault="00390B5C">
            <w:r w:rsidRPr="00390B5C">
              <w:t>To provide news, trends, or practical information or examine problems or concerns in a particular field, trade, or industry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</w:tr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left w:val="nil"/>
            </w:tcBorders>
            <w:shd w:val="clear" w:color="auto" w:fill="F2F2F2" w:themeFill="background1" w:themeFillShade="F2"/>
          </w:tcPr>
          <w:p w:rsidR="00390B5C" w:rsidRPr="00390B5C" w:rsidRDefault="00390B5C">
            <w:pPr>
              <w:rPr>
                <w:b/>
              </w:rPr>
            </w:pPr>
            <w:r w:rsidRPr="00390B5C">
              <w:rPr>
                <w:b/>
              </w:rPr>
              <w:t>Audience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390B5C" w:rsidRDefault="00390B5C">
            <w:r w:rsidRPr="00390B5C">
              <w:t>General public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390B5C" w:rsidRDefault="00390B5C">
            <w:r w:rsidRPr="00390B5C">
              <w:t>Scholars, researchers, and students of specific discipline or field</w:t>
            </w:r>
          </w:p>
        </w:tc>
        <w:tc>
          <w:tcPr>
            <w:tcW w:w="2430" w:type="dxa"/>
            <w:tcBorders>
              <w:right w:val="nil"/>
            </w:tcBorders>
            <w:shd w:val="clear" w:color="auto" w:fill="F2F2F2" w:themeFill="background1" w:themeFillShade="F2"/>
          </w:tcPr>
          <w:p w:rsidR="00390B5C" w:rsidRDefault="00390B5C">
            <w:r w:rsidRPr="00390B5C">
              <w:t>Practitioners of a particular field, trade, or industry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</w:tr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left w:val="nil"/>
              <w:bottom w:val="single" w:sz="4" w:space="0" w:color="auto"/>
            </w:tcBorders>
          </w:tcPr>
          <w:p w:rsidR="00390B5C" w:rsidRPr="00390B5C" w:rsidRDefault="00390B5C">
            <w:pPr>
              <w:rPr>
                <w:b/>
              </w:rPr>
            </w:pPr>
            <w:r w:rsidRPr="00390B5C">
              <w:rPr>
                <w:b/>
              </w:rPr>
              <w:t>Creator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90B5C" w:rsidRDefault="00390B5C">
            <w:r w:rsidRPr="00390B5C">
              <w:t>Professional writers, journalists, freelance writers or creators that deal with a variety of topics regularly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90B5C" w:rsidRDefault="00390B5C">
            <w:r w:rsidRPr="00390B5C">
              <w:t>Scholars or researchers with extensive credentials and experience in the specific discipline or field and usually associated with a university or other organization</w:t>
            </w:r>
          </w:p>
        </w:tc>
        <w:tc>
          <w:tcPr>
            <w:tcW w:w="2430" w:type="dxa"/>
            <w:tcBorders>
              <w:bottom w:val="single" w:sz="4" w:space="0" w:color="auto"/>
              <w:right w:val="nil"/>
            </w:tcBorders>
          </w:tcPr>
          <w:p w:rsidR="00390B5C" w:rsidRDefault="00390B5C">
            <w:r w:rsidRPr="00390B5C">
              <w:t>Professionals or freelance writers or creators with experience in a particular field, trade, or industry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  <w:bookmarkStart w:id="0" w:name="_GoBack"/>
        <w:bookmarkEnd w:id="0"/>
      </w:tr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left w:val="nil"/>
            </w:tcBorders>
            <w:shd w:val="clear" w:color="auto" w:fill="F2F2F2" w:themeFill="background1" w:themeFillShade="F2"/>
          </w:tcPr>
          <w:p w:rsidR="00390B5C" w:rsidRPr="00390B5C" w:rsidRDefault="00390B5C">
            <w:pPr>
              <w:rPr>
                <w:b/>
              </w:rPr>
            </w:pPr>
            <w:r w:rsidRPr="00390B5C">
              <w:rPr>
                <w:b/>
              </w:rPr>
              <w:t>Language (Tone)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390B5C" w:rsidRDefault="00390B5C">
            <w:r w:rsidRPr="00390B5C">
              <w:t>Entertaining, non-technical language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390B5C" w:rsidRDefault="00390B5C">
            <w:r w:rsidRPr="00390B5C">
              <w:t>Specialized terminology or jargon from the specific discipline or field</w:t>
            </w:r>
          </w:p>
        </w:tc>
        <w:tc>
          <w:tcPr>
            <w:tcW w:w="2430" w:type="dxa"/>
            <w:tcBorders>
              <w:right w:val="nil"/>
            </w:tcBorders>
            <w:shd w:val="clear" w:color="auto" w:fill="F2F2F2" w:themeFill="background1" w:themeFillShade="F2"/>
          </w:tcPr>
          <w:p w:rsidR="00390B5C" w:rsidRDefault="00390B5C">
            <w:r w:rsidRPr="00390B5C">
              <w:t>Specialized terminology or jargon in the field or industry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</w:tr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left w:val="nil"/>
              <w:bottom w:val="single" w:sz="4" w:space="0" w:color="auto"/>
            </w:tcBorders>
          </w:tcPr>
          <w:p w:rsidR="00390B5C" w:rsidRPr="00390B5C" w:rsidRDefault="00390B5C">
            <w:pPr>
              <w:rPr>
                <w:b/>
              </w:rPr>
            </w:pPr>
            <w:r w:rsidRPr="00390B5C">
              <w:rPr>
                <w:b/>
              </w:rPr>
              <w:t>Reference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90B5C" w:rsidRDefault="00390B5C">
            <w:r w:rsidRPr="00390B5C">
              <w:t>Sources rarely cited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90B5C" w:rsidRDefault="00390B5C">
            <w:r w:rsidRPr="00390B5C">
              <w:t>Sources always cited</w:t>
            </w:r>
          </w:p>
        </w:tc>
        <w:tc>
          <w:tcPr>
            <w:tcW w:w="2430" w:type="dxa"/>
            <w:tcBorders>
              <w:bottom w:val="single" w:sz="4" w:space="0" w:color="auto"/>
              <w:right w:val="nil"/>
            </w:tcBorders>
          </w:tcPr>
          <w:p w:rsidR="00390B5C" w:rsidRDefault="00390B5C">
            <w:r w:rsidRPr="00390B5C">
              <w:t>Sources occasionally, but not usually cited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</w:tr>
      <w:tr w:rsidR="00390B5C" w:rsidTr="00895E2C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left w:val="nil"/>
              <w:bottom w:val="nil"/>
            </w:tcBorders>
            <w:shd w:val="clear" w:color="auto" w:fill="F2F2F2" w:themeFill="background1" w:themeFillShade="F2"/>
          </w:tcPr>
          <w:p w:rsidR="00390B5C" w:rsidRPr="00390B5C" w:rsidRDefault="00390B5C">
            <w:pPr>
              <w:rPr>
                <w:b/>
              </w:rPr>
            </w:pPr>
            <w:r w:rsidRPr="00390B5C">
              <w:rPr>
                <w:b/>
              </w:rPr>
              <w:t>Accountability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F2F2F2" w:themeFill="background1" w:themeFillShade="F2"/>
          </w:tcPr>
          <w:p w:rsidR="00390B5C" w:rsidRDefault="00390B5C">
            <w:r w:rsidRPr="00390B5C">
              <w:t>Content not evaluated by experts in the field; often published or produced by commercial organizations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F2F2F2" w:themeFill="background1" w:themeFillShade="F2"/>
          </w:tcPr>
          <w:p w:rsidR="00390B5C" w:rsidRPr="00390B5C" w:rsidRDefault="00390B5C" w:rsidP="00390B5C">
            <w:r w:rsidRPr="00390B5C">
              <w:t>Usually reviewed and critically evaluated by a subject expert or board of subject experts (peer review); published or produced by a scholarly organization or society (university, association, commercial enterprise, etc.)</w:t>
            </w:r>
          </w:p>
        </w:tc>
        <w:tc>
          <w:tcPr>
            <w:tcW w:w="2430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:rsidR="00390B5C" w:rsidRDefault="00390B5C">
            <w:r w:rsidRPr="00390B5C">
              <w:t>Content may be evaluated by experts in the field; often published or produced by a trade association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390B5C" w:rsidRDefault="00390B5C"/>
        </w:tc>
      </w:tr>
      <w:tr w:rsidR="00390B5C" w:rsidTr="00390B5C">
        <w:tc>
          <w:tcPr>
            <w:tcW w:w="288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430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430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430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90B5C" w:rsidRDefault="00390B5C"/>
        </w:tc>
        <w:tc>
          <w:tcPr>
            <w:tcW w:w="288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90B5C" w:rsidRDefault="00390B5C"/>
        </w:tc>
      </w:tr>
    </w:tbl>
    <w:p w:rsidR="00390B5C" w:rsidRDefault="00390B5C"/>
    <w:sectPr w:rsidR="0039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5C"/>
    <w:rsid w:val="00390B5C"/>
    <w:rsid w:val="00895E2C"/>
    <w:rsid w:val="00E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CFerrance</dc:creator>
  <cp:lastModifiedBy>CFerrance</cp:lastModifiedBy>
  <cp:revision>1</cp:revision>
  <dcterms:created xsi:type="dcterms:W3CDTF">2014-12-03T20:40:00Z</dcterms:created>
  <dcterms:modified xsi:type="dcterms:W3CDTF">2014-12-03T20:54:00Z</dcterms:modified>
</cp:coreProperties>
</file>