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 Factory – Ontwikkeling van idee naar fabriekssysteem</w:t>
      </w:r>
    </w:p>
    <w:p>
      <w:r>
        <w:t>Managementoverzicht | november 2025 t/m september 2026</w:t>
      </w:r>
    </w:p>
    <w:p>
      <w:pPr>
        <w:pStyle w:val="Heading1"/>
      </w:pPr>
      <w:r>
        <w:t>Managementsamenvatting</w:t>
      </w:r>
    </w:p>
    <w:p>
      <w:r>
        <w:t>Future Factory begon als een idee om het werk op de werkvloer digitaal te ondersteunen. Inmiddels is het uitgegroeid tot een systeem waarin productie, planning, kwaliteit en productinformatie samenkomen. BH18 werkt ermee in de praktijk en BH16 is toegevoegd. De volgende stap is om de keten van BH12 en Mazak gecontroleerd in gebruik te nemen en daarna goed te blijven beheren.</w:t>
      </w:r>
    </w:p>
    <w:p>
      <w:r>
        <w:t>Het idee en de eerste uitwerking begonnen in november 2025. Tot en met maart 2026 ging het vooral om het uitdenken van het concept, de technische basis en de voorbereiding. Op 30 maart 2026 begon de echte pilot op BH18. Ongeveer 90% van de ontwikkeling is in vrije tijd gedaan.</w:t>
      </w:r>
    </w:p>
    <w:p>
      <w:pPr>
        <w:pStyle w:val="Heading1"/>
      </w:pPr>
      <w:r>
        <w:t>Managementtijdlijn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51"/>
        <w:gridCol w:w="3251"/>
        <w:gridCol w:w="3251"/>
      </w:tblGrid>
      <w:tr>
        <w:trPr>
          <w:cantSplit/>
        </w:trPr>
        <w:tc>
          <w:tcPr>
            <w:tcW w:type="dxa" w:w="2041"/>
            <w:vAlign w:val="center"/>
            <w:shd w:fill="17365D"/>
            <w:tcMar>
              <w:top w:w="90" w:type="dxa"/>
              <w:bottom w:w="90" w:type="dxa"/>
              <w:start w:w="90" w:type="dxa"/>
              <w:end w:w="90" w:type="dxa"/>
            </w:tcMar>
          </w:tcPr>
          <w:p>
            <w:pPr>
              <w:spacing w:after="40" w:line="240" w:lineRule="auto"/>
            </w:pPr>
            <w:r>
              <w:rPr>
                <w:b/>
                <w:color w:val="FFFFFF"/>
                <w:sz w:val="19"/>
              </w:rPr>
              <w:t>Periode en fase</w:t>
            </w:r>
          </w:p>
        </w:tc>
        <w:tc>
          <w:tcPr>
            <w:tcW w:type="dxa" w:w="6293"/>
            <w:vAlign w:val="center"/>
            <w:shd w:fill="17365D"/>
            <w:tcMar>
              <w:top w:w="90" w:type="dxa"/>
              <w:bottom w:w="90" w:type="dxa"/>
              <w:start w:w="90" w:type="dxa"/>
              <w:end w:w="90" w:type="dxa"/>
            </w:tcMar>
          </w:tcPr>
          <w:p>
            <w:pPr>
              <w:spacing w:after="40" w:line="240" w:lineRule="auto"/>
            </w:pPr>
            <w:r>
              <w:rPr>
                <w:b/>
                <w:color w:val="FFFFFF"/>
                <w:sz w:val="19"/>
              </w:rPr>
              <w:t>Wat er is veranderd</w:t>
            </w:r>
          </w:p>
        </w:tc>
        <w:tc>
          <w:tcPr>
            <w:tcW w:type="dxa" w:w="1417"/>
            <w:vAlign w:val="center"/>
            <w:shd w:fill="17365D"/>
            <w:tcMar>
              <w:top w:w="90" w:type="dxa"/>
              <w:bottom w:w="90" w:type="dxa"/>
              <w:start w:w="90" w:type="dxa"/>
              <w:end w:w="90" w:type="dxa"/>
            </w:tcMar>
          </w:tcPr>
          <w:p>
            <w:pPr>
              <w:spacing w:after="40" w:line="240" w:lineRule="auto"/>
            </w:pPr>
            <w:r>
              <w:rPr>
                <w:b/>
                <w:color w:val="FFFFFF"/>
                <w:sz w:val="19"/>
              </w:rPr>
              <w:t>Geschatte uren</w:t>
            </w:r>
          </w:p>
        </w:tc>
      </w:tr>
      <w:tr>
        <w:trPr>
          <w:cantSplit/>
        </w:trPr>
        <w:tc>
          <w:tcPr>
            <w:tcW w:type="dxa" w:w="2041"/>
            <w:vAlign w:val="center"/>
            <w:shd w:fill="EFF4F8"/>
            <w:tcMar>
              <w:top w:w="90" w:type="dxa"/>
              <w:bottom w:w="90" w:type="dxa"/>
              <w:start w:w="90" w:type="dxa"/>
              <w:end w:w="90" w:type="dxa"/>
            </w:tcMar>
          </w:tcPr>
          <w:p>
            <w:pPr>
              <w:spacing w:after="40" w:line="240" w:lineRule="auto"/>
            </w:pPr>
            <w:r>
              <w:rPr>
                <w:sz w:val="19"/>
              </w:rPr>
              <w:t>Nov. 2025–29 mrt. 2026</w:t>
              <w:br/>
              <w:t>Idee en voorbereiding</w:t>
            </w:r>
          </w:p>
        </w:tc>
        <w:tc>
          <w:tcPr>
            <w:tcW w:type="dxa" w:w="6293"/>
            <w:vAlign w:val="center"/>
            <w:shd w:fill="EFF4F8"/>
            <w:tcMar>
              <w:top w:w="90" w:type="dxa"/>
              <w:bottom w:w="90" w:type="dxa"/>
              <w:start w:w="90" w:type="dxa"/>
              <w:end w:w="90" w:type="dxa"/>
            </w:tcMar>
          </w:tcPr>
          <w:p>
            <w:r>
              <w:t>De eerste digitale werkplek op BH18: orders bekijken, productie starten en gereedmelden, lotnummers en eerste labels.</w:t>
            </w:r>
          </w:p>
        </w:tc>
        <w:tc>
          <w:tcPr>
            <w:tcW w:type="dxa" w:w="1417"/>
            <w:vAlign w:val="center"/>
            <w:shd w:fill="EFF4F8"/>
            <w:tcMar>
              <w:top w:w="90" w:type="dxa"/>
              <w:bottom w:w="90" w:type="dxa"/>
              <w:start w:w="90" w:type="dxa"/>
              <w:end w:w="90" w:type="dxa"/>
            </w:tcMar>
          </w:tcPr>
          <w:p>
            <w:pPr>
              <w:spacing w:after="40" w:line="240" w:lineRule="auto"/>
            </w:pPr>
            <w:r>
              <w:rPr>
                <w:sz w:val="19"/>
              </w:rPr>
              <w:t>60–120*</w:t>
            </w:r>
          </w:p>
        </w:tc>
      </w:tr>
      <w:tr>
        <w:trPr>
          <w:cantSplit/>
        </w:trPr>
        <w:tc>
          <w:tcPr>
            <w:tcW w:type="dxa" w:w="2041"/>
            <w:vAlign w:val="center"/>
            <w:shd w:fill="FFFFFF"/>
            <w:tcMar>
              <w:top w:w="90" w:type="dxa"/>
              <w:bottom w:w="90" w:type="dxa"/>
              <w:start w:w="90" w:type="dxa"/>
              <w:end w:w="90" w:type="dxa"/>
            </w:tcMar>
          </w:tcPr>
          <w:p>
            <w:pPr>
              <w:spacing w:after="40" w:line="240" w:lineRule="auto"/>
            </w:pPr>
            <w:r>
              <w:rPr>
                <w:sz w:val="19"/>
              </w:rPr>
              <w:t>30 mrt.–apr. 2026</w:t>
              <w:br/>
              <w:t>BH18-pilot</w:t>
            </w:r>
          </w:p>
        </w:tc>
        <w:tc>
          <w:tcPr>
            <w:tcW w:type="dxa" w:w="6293"/>
            <w:vAlign w:val="center"/>
            <w:shd w:fill="FFFFFF"/>
            <w:tcMar>
              <w:top w:w="90" w:type="dxa"/>
              <w:bottom w:w="90" w:type="dxa"/>
              <w:start w:w="90" w:type="dxa"/>
              <w:end w:w="90" w:type="dxa"/>
            </w:tcMar>
          </w:tcPr>
          <w:p>
            <w:r>
              <w:t>De eerste digitale werkplek op BH18: orders bekijken, productie starten en gereedmelden, lotnummers en eerste labels.</w:t>
            </w:r>
          </w:p>
        </w:tc>
        <w:tc>
          <w:tcPr>
            <w:tcW w:type="dxa" w:w="1417"/>
            <w:vAlign w:val="center"/>
            <w:shd w:fill="FFFFFF"/>
            <w:tcMar>
              <w:top w:w="90" w:type="dxa"/>
              <w:bottom w:w="90" w:type="dxa"/>
              <w:start w:w="90" w:type="dxa"/>
              <w:end w:w="90" w:type="dxa"/>
            </w:tcMar>
          </w:tcPr>
          <w:p>
            <w:pPr>
              <w:spacing w:after="40" w:line="240" w:lineRule="auto"/>
            </w:pPr>
            <w:r>
              <w:rPr>
                <w:sz w:val="19"/>
              </w:rPr>
              <w:t>120–180</w:t>
            </w:r>
          </w:p>
        </w:tc>
      </w:tr>
      <w:tr>
        <w:trPr>
          <w:cantSplit/>
        </w:trPr>
        <w:tc>
          <w:tcPr>
            <w:tcW w:type="dxa" w:w="2041"/>
            <w:vAlign w:val="center"/>
            <w:shd w:fill="EFF4F8"/>
            <w:tcMar>
              <w:top w:w="90" w:type="dxa"/>
              <w:bottom w:w="90" w:type="dxa"/>
              <w:start w:w="90" w:type="dxa"/>
              <w:end w:w="90" w:type="dxa"/>
            </w:tcMar>
          </w:tcPr>
          <w:p>
            <w:pPr>
              <w:spacing w:after="40" w:line="240" w:lineRule="auto"/>
            </w:pPr>
            <w:r>
              <w:rPr>
                <w:sz w:val="19"/>
              </w:rPr>
              <w:t>Mei 2026</w:t>
              <w:br/>
              <w:t>Producten volgen</w:t>
            </w:r>
          </w:p>
        </w:tc>
        <w:tc>
          <w:tcPr>
            <w:tcW w:type="dxa" w:w="6293"/>
            <w:vAlign w:val="center"/>
            <w:shd w:fill="EFF4F8"/>
            <w:tcMar>
              <w:top w:w="90" w:type="dxa"/>
              <w:bottom w:w="90" w:type="dxa"/>
              <w:start w:w="90" w:type="dxa"/>
              <w:end w:w="90" w:type="dxa"/>
            </w:tcMar>
          </w:tcPr>
          <w:p>
            <w:r>
              <w:t>Planning en productstatussen verbinden, zodat zichtbaar is waar producten zijn en welke stap nog volgt.</w:t>
            </w:r>
          </w:p>
        </w:tc>
        <w:tc>
          <w:tcPr>
            <w:tcW w:type="dxa" w:w="1417"/>
            <w:vAlign w:val="center"/>
            <w:shd w:fill="EFF4F8"/>
            <w:tcMar>
              <w:top w:w="90" w:type="dxa"/>
              <w:bottom w:w="90" w:type="dxa"/>
              <w:start w:w="90" w:type="dxa"/>
              <w:end w:w="90" w:type="dxa"/>
            </w:tcMar>
          </w:tcPr>
          <w:p>
            <w:pPr>
              <w:spacing w:after="40" w:line="240" w:lineRule="auto"/>
            </w:pPr>
            <w:r>
              <w:rPr>
                <w:sz w:val="19"/>
              </w:rPr>
              <w:t>120–170</w:t>
            </w:r>
          </w:p>
        </w:tc>
      </w:tr>
      <w:tr>
        <w:trPr>
          <w:cantSplit/>
        </w:trPr>
        <w:tc>
          <w:tcPr>
            <w:tcW w:type="dxa" w:w="2041"/>
            <w:vAlign w:val="center"/>
            <w:shd w:fill="FFFFFF"/>
            <w:tcMar>
              <w:top w:w="90" w:type="dxa"/>
              <w:bottom w:w="90" w:type="dxa"/>
              <w:start w:w="90" w:type="dxa"/>
              <w:end w:w="90" w:type="dxa"/>
            </w:tcMar>
          </w:tcPr>
          <w:p>
            <w:pPr>
              <w:spacing w:after="40" w:line="240" w:lineRule="auto"/>
            </w:pPr>
            <w:r>
              <w:rPr>
                <w:sz w:val="19"/>
              </w:rPr>
              <w:t>Juni 2026</w:t>
              <w:br/>
              <w:t>Samenhang uitbreiden</w:t>
            </w:r>
          </w:p>
        </w:tc>
        <w:tc>
          <w:tcPr>
            <w:tcW w:type="dxa" w:w="6293"/>
            <w:vAlign w:val="center"/>
            <w:shd w:fill="FFFFFF"/>
            <w:tcMar>
              <w:top w:w="90" w:type="dxa"/>
              <w:bottom w:w="90" w:type="dxa"/>
              <w:start w:w="90" w:type="dxa"/>
              <w:end w:w="90" w:type="dxa"/>
            </w:tcMar>
          </w:tcPr>
          <w:p>
            <w:r>
              <w:t>Kwaliteitscontrole, producthistorie, teamleaderoverzichten, labels, printwachtrijen en cloudfuncties uitbreiden.</w:t>
            </w:r>
          </w:p>
        </w:tc>
        <w:tc>
          <w:tcPr>
            <w:tcW w:type="dxa" w:w="1417"/>
            <w:vAlign w:val="center"/>
            <w:shd w:fill="FFFFFF"/>
            <w:tcMar>
              <w:top w:w="90" w:type="dxa"/>
              <w:bottom w:w="90" w:type="dxa"/>
              <w:start w:w="90" w:type="dxa"/>
              <w:end w:w="90" w:type="dxa"/>
            </w:tcMar>
          </w:tcPr>
          <w:p>
            <w:pPr>
              <w:spacing w:after="40" w:line="240" w:lineRule="auto"/>
            </w:pPr>
            <w:r>
              <w:rPr>
                <w:sz w:val="19"/>
              </w:rPr>
              <w:t>170–230</w:t>
            </w:r>
          </w:p>
        </w:tc>
      </w:tr>
      <w:tr>
        <w:trPr>
          <w:cantSplit/>
        </w:trPr>
        <w:tc>
          <w:tcPr>
            <w:tcW w:type="dxa" w:w="2041"/>
            <w:vAlign w:val="center"/>
            <w:shd w:fill="EFF4F8"/>
            <w:tcMar>
              <w:top w:w="90" w:type="dxa"/>
              <w:bottom w:w="90" w:type="dxa"/>
              <w:start w:w="90" w:type="dxa"/>
              <w:end w:w="90" w:type="dxa"/>
            </w:tcMar>
          </w:tcPr>
          <w:p>
            <w:pPr>
              <w:spacing w:after="40" w:line="240" w:lineRule="auto"/>
            </w:pPr>
            <w:r>
              <w:rPr>
                <w:sz w:val="19"/>
              </w:rPr>
              <w:t>Juli 2026</w:t>
              <w:br/>
              <w:t>Professionaliseren</w:t>
            </w:r>
          </w:p>
        </w:tc>
        <w:tc>
          <w:tcPr>
            <w:tcW w:type="dxa" w:w="6293"/>
            <w:vAlign w:val="center"/>
            <w:shd w:fill="EFF4F8"/>
            <w:tcMar>
              <w:top w:w="90" w:type="dxa"/>
              <w:bottom w:w="90" w:type="dxa"/>
              <w:start w:w="90" w:type="dxa"/>
              <w:end w:w="90" w:type="dxa"/>
            </w:tcMar>
          </w:tcPr>
          <w:p>
            <w:r>
              <w:t>Testen, beveiliging, prestaties en foutmeldingen verbeteren en de software overzichtelijker maken.</w:t>
            </w:r>
          </w:p>
        </w:tc>
        <w:tc>
          <w:tcPr>
            <w:tcW w:type="dxa" w:w="1417"/>
            <w:vAlign w:val="center"/>
            <w:shd w:fill="EFF4F8"/>
            <w:tcMar>
              <w:top w:w="90" w:type="dxa"/>
              <w:bottom w:w="90" w:type="dxa"/>
              <w:start w:w="90" w:type="dxa"/>
              <w:end w:w="90" w:type="dxa"/>
            </w:tcMar>
          </w:tcPr>
          <w:p>
            <w:pPr>
              <w:spacing w:after="40" w:line="240" w:lineRule="auto"/>
            </w:pPr>
            <w:r>
              <w:rPr>
                <w:sz w:val="19"/>
              </w:rPr>
              <w:t>140–200</w:t>
            </w:r>
          </w:p>
        </w:tc>
      </w:tr>
      <w:tr>
        <w:trPr>
          <w:cantSplit/>
        </w:trPr>
        <w:tc>
          <w:tcPr>
            <w:tcW w:type="dxa" w:w="2041"/>
            <w:vAlign w:val="center"/>
            <w:shd w:fill="FFFFFF"/>
            <w:tcMar>
              <w:top w:w="90" w:type="dxa"/>
              <w:bottom w:w="90" w:type="dxa"/>
              <w:start w:w="90" w:type="dxa"/>
              <w:end w:w="90" w:type="dxa"/>
            </w:tcMar>
          </w:tcPr>
          <w:p>
            <w:pPr>
              <w:spacing w:after="40" w:line="240" w:lineRule="auto"/>
            </w:pPr>
            <w:r>
              <w:rPr>
                <w:sz w:val="19"/>
              </w:rPr>
              <w:t>Augustus 2026</w:t>
              <w:br/>
              <w:t>Meer machines en gebruikers</w:t>
            </w:r>
          </w:p>
        </w:tc>
        <w:tc>
          <w:tcPr>
            <w:tcW w:type="dxa" w:w="6293"/>
            <w:vAlign w:val="center"/>
            <w:shd w:fill="FFFFFF"/>
            <w:tcMar>
              <w:top w:w="90" w:type="dxa"/>
              <w:bottom w:w="90" w:type="dxa"/>
              <w:start w:w="90" w:type="dxa"/>
              <w:end w:w="90" w:type="dxa"/>
            </w:tcMar>
          </w:tcPr>
          <w:p>
            <w:r>
              <w:t>BH16 toevoegen en stabiel maken, printers verbeteren en de basis voor gebruikersrechten leggen.</w:t>
            </w:r>
          </w:p>
        </w:tc>
        <w:tc>
          <w:tcPr>
            <w:tcW w:type="dxa" w:w="1417"/>
            <w:vAlign w:val="center"/>
            <w:shd w:fill="FFFFFF"/>
            <w:tcMar>
              <w:top w:w="90" w:type="dxa"/>
              <w:bottom w:w="90" w:type="dxa"/>
              <w:start w:w="90" w:type="dxa"/>
              <w:end w:w="90" w:type="dxa"/>
            </w:tcMar>
          </w:tcPr>
          <w:p>
            <w:pPr>
              <w:spacing w:after="40" w:line="240" w:lineRule="auto"/>
            </w:pPr>
            <w:r>
              <w:rPr>
                <w:sz w:val="19"/>
              </w:rPr>
              <w:t>180–250</w:t>
            </w:r>
          </w:p>
        </w:tc>
      </w:tr>
      <w:tr>
        <w:trPr>
          <w:cantSplit/>
        </w:trPr>
        <w:tc>
          <w:tcPr>
            <w:tcW w:type="dxa" w:w="2041"/>
            <w:vAlign w:val="center"/>
            <w:shd w:fill="EFF4F8"/>
            <w:tcMar>
              <w:top w:w="90" w:type="dxa"/>
              <w:bottom w:w="90" w:type="dxa"/>
              <w:start w:w="90" w:type="dxa"/>
              <w:end w:w="90" w:type="dxa"/>
            </w:tcMar>
          </w:tcPr>
          <w:p>
            <w:pPr>
              <w:spacing w:after="40" w:line="240" w:lineRule="auto"/>
            </w:pPr>
            <w:r>
              <w:rPr>
                <w:sz w:val="19"/>
              </w:rPr>
              <w:t>September 2026</w:t>
              <w:br/>
              <w:t>Stabiliseren en voorbereiden</w:t>
            </w:r>
          </w:p>
        </w:tc>
        <w:tc>
          <w:tcPr>
            <w:tcW w:type="dxa" w:w="6293"/>
            <w:vAlign w:val="center"/>
            <w:shd w:fill="EFF4F8"/>
            <w:tcMar>
              <w:top w:w="90" w:type="dxa"/>
              <w:bottom w:w="90" w:type="dxa"/>
              <w:start w:w="90" w:type="dxa"/>
              <w:end w:w="90" w:type="dxa"/>
            </w:tcMar>
          </w:tcPr>
          <w:p>
            <w:pPr>
              <w:spacing w:after="40" w:line="240" w:lineRule="auto"/>
            </w:pPr>
            <w:r>
              <w:rPr>
                <w:sz w:val="19"/>
              </w:rPr>
              <w:t>Databasebelasting en printprocessen verbeteren; P14/IAM verder voorbereiden en BH12/Mazak richting praktijktest brengen.</w:t>
            </w:r>
          </w:p>
        </w:tc>
        <w:tc>
          <w:tcPr>
            <w:tcW w:type="dxa" w:w="1417"/>
            <w:vAlign w:val="center"/>
            <w:shd w:fill="EFF4F8"/>
            <w:tcMar>
              <w:top w:w="90" w:type="dxa"/>
              <w:bottom w:w="90" w:type="dxa"/>
              <w:start w:w="90" w:type="dxa"/>
              <w:end w:w="90" w:type="dxa"/>
            </w:tcMar>
          </w:tcPr>
          <w:p>
            <w:pPr>
              <w:spacing w:after="40" w:line="240" w:lineRule="auto"/>
            </w:pPr>
            <w:r>
              <w:rPr>
                <w:sz w:val="19"/>
              </w:rPr>
              <w:t>35–45</w:t>
              <w:br/>
              <w:t>(circa 40)</w:t>
            </w:r>
          </w:p>
        </w:tc>
      </w:tr>
    </w:tbl>
    <w:p>
      <w:r>
        <w:rPr>
          <w:sz w:val="18"/>
        </w:rPr>
        <w:t>* Voor november–maart is 60–120 uur een aanvullende, voorlopige inschatting; deze fase is minder goed in de changelog vastgelegd. De fasen beschrijven het zwaartepunt: werkzaamheden liepen deels naast elkaar.</w:t>
      </w:r>
    </w:p>
    <w:p>
      <w:r>
        <w:rPr>
          <w:sz w:val="18"/>
        </w:rPr>
        <w:t>Alle uren zijn een reconstructie/schatting op basis van ontwikkelsessies en changelog, aangevuld met de toelichting van de ontwikkelaar. Het is geen officiële urenregistratie. De bandbreedtes zijn losse fase-inschattingen; er worden geen cumulatieve uren weergegeven.</w:t>
      </w:r>
    </w:p>
    <w:p>
      <w:r>
        <w:br w:type="page"/>
      </w:r>
    </w:p>
    <w:p>
      <w:pPr>
        <w:pStyle w:val="Heading1"/>
      </w:pPr>
      <w:r>
        <w:t>1 Wat er achter de schermen is opgebouwd</w:t>
      </w:r>
    </w:p>
    <w:p>
      <w:r>
        <w:t>De pilot op BH18 begon met een eenvoudige vraag: kan een operator op een tablet zien wat hij moet maken, de productie registreren en het juiste label printen? In de praktijk kwamen daarna meer vragen. Waar is het product? Welke stap volgt? Welk lotnummer hoort erbij? Wat gebeurt er bij afkeur? Om die vragen goed te beantwoorden moesten steeds meer onderdelen met elkaar samenwerken.</w:t>
      </w:r>
    </w:p>
    <w:p>
      <w:r>
        <w:t>Planning en productvolging maken zichtbaar wat er moet gebeuren en hoe ver het werk is. Kwaliteitscontrole, lotnummers en de producthistorie laten zien wat er met een product is gebeurd. Labels, scanners en printers verbinden de digitale registratie met het echte product. Teamleaders krijgen overzichten en rapportages maken de informatie ook buiten het machinescherm bruikbaar.</w:t>
      </w:r>
    </w:p>
    <w:p>
      <w:r>
        <w:t>De gegevens worden centraal opgeslagen in de cloudomgeving. De backend is het deel achter de schermen dat acties verwerkt en ervoor zorgt dat verschillende schermen dezelfde informatie gebruiken. Ook is gewerkt aan beheer, AI-functies en de voorbereiding op koppelingen met Infor LN/ION. Een voorbereiding op een koppeling betekent nog niet dat die koppeling al volledig in productie werkt.</w:t>
      </w:r>
    </w:p>
    <w:p>
      <w:r>
        <w:t>Toen het systeem groter werd, was extra onderhoud nodig. Er kwamen automatische tests, duidelijkere foutmeldingen, betere beveiliging, registratie van storingen en stabielere printerverbindingen. Ook is onnodig databaseverkeer verminderd. Dit werk levert meestal geen nieuwe knop op, maar zorgt ervoor dat bestaande functies betrouwbaar blijven samenwerken.</w:t>
      </w:r>
    </w:p>
    <w:p>
      <w:pPr>
        <w:pStyle w:val="Heading1"/>
      </w:pPr>
      <w:r>
        <w:t>2 Waarom één knop veel werk vraagt</w:t>
      </w:r>
    </w:p>
    <w:p>
      <w:r>
        <w:t>Een knop als “Gereed” lijkt eenvoudig, maar achter die knop gebeurt veel. Het systeem controleert wie de medewerker is en wat die mag doen. Daarna worden de juiste order en het lotnummer bijgewerkt, wordt de volgende stap bepaald, wordt de planning aangepast, wordt een label klaargezet en wordt de handeling opgeslagen in de historie.</w:t>
      </w:r>
    </w:p>
    <w:p>
      <w:r>
        <w:t>Ook moet het systeem goed reageren als iemand twee keer klikt, de internetverbinding wegvalt of een printer niet reageert. Elke wijziging moet daarom op meerdere schermen en machines worden getest. Een oplossing voor Mazak mag geen nieuw probleem veroorzaken bij BH18 of BH16.</w:t>
      </w:r>
    </w:p>
    <w:p>
      <w:r>
        <w:t>Een concreet voorbeeld is de route bij BH12. Na “klaar wikkelen” moet het product eerst naar Lossen 12/18. Pas daarna gaat het, waar nodig, naar Mazak of nabewerken. Dat lijkt een kleine routewijziging, maar raakt tegelijk de productstatus, de planning, de werkvoorraad en de labels.</w:t>
      </w:r>
    </w:p>
    <w:p>
      <w:pPr>
        <w:pStyle w:val="Heading1"/>
      </w:pPr>
      <w:r>
        <w:t>3 Waar de ontwikkeltijd in zit</w:t>
      </w:r>
    </w:p>
    <w:p>
      <w:r>
        <w:t>De uren hieronder zijn per fase weergegeven, zodat zichtbaar blijft welk soort werk is gedaan. Het zijn schattingen op basis van ontwikkelsessies en de changelog, geen afzonderlijk bijgehouden uren. De voorbereiding vóór de pilot staat apart in de tijdlijn. De domeinen hieronder zijn een andere manier om hetzelfde werk te bekijken en moeten niet bij de tijdlijn worden opgeteld.</w:t>
      </w:r>
    </w:p>
    <w:p>
      <w:r>
        <w:drawing>
          <wp:inline xmlns:a="http://schemas.openxmlformats.org/drawingml/2006/main" xmlns:pic="http://schemas.openxmlformats.org/drawingml/2006/picture">
            <wp:extent cx="6156000" cy="1812600"/>
            <wp:docPr id="1" name="Picture 1"/>
            <wp:cNvGraphicFramePr>
              <a:graphicFrameLocks noChangeAspect="1"/>
            </wp:cNvGraphicFramePr>
            <a:graphic>
              <a:graphicData uri="http://schemas.openxmlformats.org/drawingml/2006/picture">
                <pic:pic>
                  <pic:nvPicPr>
                    <pic:cNvPr id="0" name="uren.png"/>
                    <pic:cNvPicPr/>
                  </pic:nvPicPr>
                  <pic:blipFill>
                    <a:blip r:embed="rId9"/>
                    <a:stretch>
                      <a:fillRect/>
                    </a:stretch>
                  </pic:blipFill>
                  <pic:spPr>
                    <a:xfrm>
                      <a:off x="0" y="0"/>
                      <a:ext cx="6156000" cy="1812600"/>
                    </a:xfrm>
                    <a:prstGeom prst="rect"/>
                  </pic:spPr>
                </pic:pic>
              </a:graphicData>
            </a:graphic>
          </wp:inline>
        </w:drawing>
      </w:r>
    </w:p>
    <w:p>
      <w:r>
        <w:br w:type="page"/>
      </w:r>
    </w:p>
    <w:p>
      <w:pPr>
        <w:pStyle w:val="Heading1"/>
      </w:pPr>
      <w:r>
        <w:t>4 Stand van zaken in september 2026</w:t>
      </w:r>
    </w:p>
    <w:p>
      <w:r>
        <w:t>BH18 werkt met Future Factory. BH16 is als tweede machine toegevoegd en wordt verder stabiel gemaakt. Daardoor is ervaring opgedaan met meerdere machines, elk met een eigen werkwijze en eigen uitzonderingen.</w:t>
      </w:r>
    </w:p>
    <w:p>
      <w:r>
        <w:t>P14 is taak 14, ook wel voortgangsproject 14 binnen Future Factory. Deze taak gaat over de verdere inrichting van de bedrijfsomgeving. Een belangrijk onderdeel is IAM: bepalen wie toegang heeft en welke handelingen iemand mag uitvoeren. Dat geldt voor operators, teamleaders, planners, beheerders en machineaccounts. De overgang naar deze rechtenstructuur moet stap voor stap worden getest. Voor een uitleg met voorbeelden van rollen, rechten en certificeringen verwijst dit document naar het tweede IAM-document: “Future Factory – Vervolgdocument 2 – IAM met EDF”.</w:t>
      </w:r>
    </w:p>
    <w:p>
      <w:r>
        <w:t>BH12 en Mazak zijn volgens de projectinschatting ongeveer 90% softwarematig gereed. De schermen, productgegevens, acties, labels, printwachtrijen en routes zijn grotendeels voorbereid. Dit percentage gaat alleen over de software. Het betekent niet dat de volledige productiestroom al voor 90% op de werkvloer is getest.</w:t>
      </w:r>
    </w:p>
    <w:p>
      <w:pPr>
        <w:pStyle w:val="Heading1"/>
      </w:pPr>
      <w:r>
        <w:t>5 De volgende fase is productioniseren</w:t>
      </w:r>
    </w:p>
    <w:p>
      <w:r>
        <w:t>Productioniseren betekent dat de gebouwde software geschikt wordt gemaakt voor dagelijks gebruik. Voor de keten BH12/Mazak betekent dit testen met echte orders, werkende apparatuur, duidelijke afspraken en een gecontroleerde start. Ook moet duidelijk zijn wie helpt als er iets misgaat.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876"/>
        <w:gridCol w:w="4876"/>
      </w:tblGrid>
      <w:tr>
        <w:trPr>
          <w:cantSplit/>
        </w:trPr>
        <w:tc>
          <w:tcPr>
            <w:tcW w:type="dxa" w:w="2324"/>
            <w:vAlign w:val="center"/>
            <w:shd w:fill="17365D"/>
            <w:tcMar>
              <w:top w:w="90" w:type="dxa"/>
              <w:bottom w:w="90" w:type="dxa"/>
              <w:start w:w="90" w:type="dxa"/>
              <w:end w:w="90" w:type="dxa"/>
            </w:tcMar>
          </w:tcPr>
          <w:p>
            <w:pPr>
              <w:spacing w:after="40" w:line="240" w:lineRule="auto"/>
            </w:pPr>
            <w:r>
              <w:rPr>
                <w:b/>
                <w:color w:val="FFFFFF"/>
                <w:sz w:val="19"/>
              </w:rPr>
              <w:t>Volgende stap</w:t>
            </w:r>
          </w:p>
        </w:tc>
        <w:tc>
          <w:tcPr>
            <w:tcW w:type="dxa" w:w="7427"/>
            <w:vAlign w:val="center"/>
            <w:shd w:fill="17365D"/>
            <w:tcMar>
              <w:top w:w="90" w:type="dxa"/>
              <w:bottom w:w="90" w:type="dxa"/>
              <w:start w:w="90" w:type="dxa"/>
              <w:end w:w="90" w:type="dxa"/>
            </w:tcMar>
          </w:tcPr>
          <w:p>
            <w:pPr>
              <w:spacing w:after="40" w:line="240" w:lineRule="auto"/>
            </w:pPr>
            <w:r>
              <w:rPr>
                <w:b/>
                <w:color w:val="FFFFFF"/>
                <w:sz w:val="19"/>
              </w:rPr>
              <w:t>Wat daarvoor nodig is</w:t>
            </w:r>
          </w:p>
        </w:tc>
      </w:tr>
      <w:tr>
        <w:trPr>
          <w:cantSplit/>
        </w:trPr>
        <w:tc>
          <w:tcPr>
            <w:tcW w:type="dxa" w:w="2324"/>
            <w:vAlign w:val="center"/>
            <w:shd w:fill="EFF4F8"/>
            <w:tcMar>
              <w:top w:w="90" w:type="dxa"/>
              <w:bottom w:w="90" w:type="dxa"/>
              <w:start w:w="90" w:type="dxa"/>
              <w:end w:w="90" w:type="dxa"/>
            </w:tcMar>
          </w:tcPr>
          <w:p>
            <w:pPr>
              <w:spacing w:after="40" w:line="240" w:lineRule="auto"/>
            </w:pPr>
            <w:r>
              <w:rPr>
                <w:sz w:val="19"/>
              </w:rPr>
              <w:t>Productieroute bewijzen</w:t>
            </w:r>
          </w:p>
        </w:tc>
        <w:tc>
          <w:tcPr>
            <w:tcW w:type="dxa" w:w="7427"/>
            <w:vAlign w:val="center"/>
            <w:shd w:fill="EFF4F8"/>
            <w:tcMar>
              <w:top w:w="90" w:type="dxa"/>
              <w:bottom w:w="90" w:type="dxa"/>
              <w:start w:w="90" w:type="dxa"/>
              <w:end w:w="90" w:type="dxa"/>
            </w:tcMar>
          </w:tcPr>
          <w:p>
            <w:r>
              <w:t>BH12 → Lossen 12/18 → waar nodig Mazak/nabewerken → volgende bewerking. Test de hele keten, inclusief uitzonderingen en herstel na fouten.</w:t>
            </w:r>
          </w:p>
        </w:tc>
      </w:tr>
      <w:tr>
        <w:trPr>
          <w:cantSplit/>
        </w:trPr>
        <w:tc>
          <w:tcPr>
            <w:tcW w:type="dxa" w:w="2324"/>
            <w:vAlign w:val="center"/>
            <w:shd w:fill="FFFFFF"/>
            <w:tcMar>
              <w:top w:w="90" w:type="dxa"/>
              <w:bottom w:w="90" w:type="dxa"/>
              <w:start w:w="90" w:type="dxa"/>
              <w:end w:w="90" w:type="dxa"/>
            </w:tcMar>
          </w:tcPr>
          <w:p>
            <w:pPr>
              <w:spacing w:after="40" w:line="240" w:lineRule="auto"/>
            </w:pPr>
            <w:r>
              <w:rPr>
                <w:sz w:val="19"/>
              </w:rPr>
              <w:t>Labels en apparatuur afronden</w:t>
            </w:r>
          </w:p>
        </w:tc>
        <w:tc>
          <w:tcPr>
            <w:tcW w:type="dxa" w:w="7427"/>
            <w:vAlign w:val="center"/>
            <w:shd w:fill="FFFFFF"/>
            <w:tcMar>
              <w:top w:w="90" w:type="dxa"/>
              <w:bottom w:w="90" w:type="dxa"/>
              <w:start w:w="90" w:type="dxa"/>
              <w:end w:w="90" w:type="dxa"/>
            </w:tcMar>
          </w:tcPr>
          <w:p>
            <w:r>
              <w:t>Mazak-routering corrigeren, printerresolutie en automatisch snijden controleren.</w:t>
            </w:r>
          </w:p>
        </w:tc>
      </w:tr>
      <w:tr>
        <w:trPr>
          <w:cantSplit/>
        </w:trPr>
        <w:tc>
          <w:tcPr>
            <w:tcW w:type="dxa" w:w="2324"/>
            <w:vAlign w:val="center"/>
            <w:shd w:fill="EFF4F8"/>
            <w:tcMar>
              <w:top w:w="90" w:type="dxa"/>
              <w:bottom w:w="90" w:type="dxa"/>
              <w:start w:w="90" w:type="dxa"/>
              <w:end w:w="90" w:type="dxa"/>
            </w:tcMar>
          </w:tcPr>
          <w:p>
            <w:pPr>
              <w:spacing w:after="40" w:line="240" w:lineRule="auto"/>
            </w:pPr>
            <w:r>
              <w:rPr>
                <w:sz w:val="19"/>
              </w:rPr>
              <w:t>Praktijktest organiseren</w:t>
            </w:r>
          </w:p>
        </w:tc>
        <w:tc>
          <w:tcPr>
            <w:tcW w:type="dxa" w:w="7427"/>
            <w:vAlign w:val="center"/>
            <w:shd w:fill="EFF4F8"/>
            <w:tcMar>
              <w:top w:w="90" w:type="dxa"/>
              <w:bottom w:w="90" w:type="dxa"/>
              <w:start w:w="90" w:type="dxa"/>
              <w:end w:w="90" w:type="dxa"/>
            </w:tcMar>
          </w:tcPr>
          <w:p>
            <w:pPr>
              <w:spacing w:after="40" w:line="240" w:lineRule="auto"/>
            </w:pPr>
            <w:r>
              <w:rPr>
                <w:sz w:val="19"/>
              </w:rPr>
              <w:t>Twee tablets en één scanner zijn volgens de projectstand beschikbaar. Een tweede labelprinter en een aparte print-pc zijn nog voorzien. Test naast de bestaande Mazak-printoplossing.</w:t>
            </w:r>
          </w:p>
        </w:tc>
      </w:tr>
      <w:tr>
        <w:trPr>
          <w:cantSplit/>
        </w:trPr>
        <w:tc>
          <w:tcPr>
            <w:tcW w:type="dxa" w:w="2324"/>
            <w:vAlign w:val="center"/>
            <w:shd w:fill="FFFFFF"/>
            <w:tcMar>
              <w:top w:w="90" w:type="dxa"/>
              <w:bottom w:w="90" w:type="dxa"/>
              <w:start w:w="90" w:type="dxa"/>
              <w:end w:w="90" w:type="dxa"/>
            </w:tcMar>
          </w:tcPr>
          <w:p>
            <w:pPr>
              <w:spacing w:after="40" w:line="240" w:lineRule="auto"/>
            </w:pPr>
            <w:r>
              <w:rPr>
                <w:sz w:val="19"/>
              </w:rPr>
              <w:t>Beheer en toegang borgen</w:t>
            </w:r>
          </w:p>
        </w:tc>
        <w:tc>
          <w:tcPr>
            <w:tcW w:type="dxa" w:w="7427"/>
            <w:vAlign w:val="center"/>
            <w:shd w:fill="FFFFFF"/>
            <w:tcMar>
              <w:top w:w="90" w:type="dxa"/>
              <w:bottom w:w="90" w:type="dxa"/>
              <w:start w:w="90" w:type="dxa"/>
              <w:end w:w="90" w:type="dxa"/>
            </w:tcMar>
          </w:tcPr>
          <w:p>
            <w:pPr>
              <w:spacing w:after="40" w:line="240" w:lineRule="auto"/>
            </w:pPr>
            <w:r>
              <w:rPr>
                <w:sz w:val="19"/>
              </w:rPr>
              <w:t>P14/IAM afronden en toetsen, monitoring voortzetten en afspraken maken over ondersteuning, wijzigingen en terugval bij storingen.</w:t>
            </w:r>
          </w:p>
        </w:tc>
      </w:tr>
    </w:tbl>
    <w:p>
      <w:pPr>
        <w:pStyle w:val="Heading1"/>
      </w:pPr>
      <w:r>
        <w:t>6 Wat dit van management vraagt</w:t>
      </w:r>
    </w:p>
    <w:p>
      <w:r>
        <w:t>Maak structureel tijd vrij voor ontwikkeling, praktijktesten en begeleiding op de werkvloer. Er is serieus meer tijd nodig om medewerkers te trainen, maar vooral om hen mee te krijgen in de nieuwe werkwijze. De feedback van de mensen die al met Future Factory werken is daarbij essentieel. De twee ploegen bij BH18 werken inmiddels zo vertrouwd met het systeem dat de papieren versie die er nog naast bestaat juist onrust veroorzaakt. Planning moet daarom weten dat orders niet meer op de oude manier met papiertjes tussen stappen kunnen worden geschoven. Medewerkers die nog aansluiten moeten ervaren dat dit breed door Future Pipe BV wordt gedragen en niet als iets persoonlijks of opgedrongens wordt ingevoerd. Spreek daarnaast af wie eigenaar is van het systeem, wie ondersteuning levert en wanneer een nieuwe productiestroom voldoende is getest om in gebruik te nemen. De ongeveer 90% ontwikkeling in vrije tijd verklaart de inzet tot nu toe, maar biedt geen vaste basis voor bedrijfsbreed beheer. De lage kosten die nu privé zijn betaald, moeten daarom ook worden overgebracht naar Future Pipe BV.</w:t>
      </w:r>
    </w:p>
    <w:p>
      <w:pPr/>
      <w:r>
        <w:t>Een praktisch voorbeeld is de route na BH18: zodra een product is gelost en naar nabewerken gaat, hoort de medewerker bij nabewerken het product met de scanner gereed te melden. Als dat wordt overgeslagen omdat er zogenaamd geen tijd voor is, krijgt Eindinspectie extra werk: daar moet het product opnieuw gereed worden gemeld en nogmaals worden gescand. De digitale werkwijze werkt alleen als iedere stap op de juiste plek wordt uitgevoerd.</w:t>
      </w:r>
    </w:p>
    <w:p>
      <w:r>
        <w:t>Na een bewezen BH12/Mazak-keten kunnen verdere uitbreidingen worden beoordeeld, zoals BH11/BH31 op basis van BH16 en BH15 op basis van BH12. De eerstvolgende mijlpaal is een betrouwbaar werkende keten, met geteste labels, juiste productroutes en duidelijke gebruikersrechten.</w:t>
      </w:r>
    </w:p>
    <w:p>
      <w:pPr>
        <w:pStyle w:val="Heading1"/>
      </w:pPr>
      <w:r>
        <w:t>7 Bronnen en uitleg van de uren</w:t>
      </w:r>
    </w:p>
    <w:p>
      <w:r>
        <w:t>Dit overzicht is gebaseerd op docs/CONVERSATION_SUMMARY.md, de conversatie “Programma analyse” en de toelichting van de ontwikkelaar. De changelog bevat ontwikkelnotities tot eind augustus. De stand van zaken in september komt uit de recente projectbespreking.</w:t>
      </w:r>
    </w:p>
    <w:p>
      <w:r>
        <w:t>De uren zijn een reconstructie en schatting. Ze zijn gebaseerd op ontwikkelsessies en de changelog en zijn geen officiële urenregistratie. Ontwerpen, uitzoeken, programmeren, testen en herstelwerk zijn allemaal meegerekend. De uren zijn ook geen bewijs van facturabele uren of gerealiseerde besparingen.</w:t>
      </w:r>
    </w:p>
    <w:sectPr w:rsidR="00FC693F" w:rsidRPr="0006063C" w:rsidSect="00034616">
      <w:footerReference w:type="default" r:id="rId10"/>
      <w:headerReference w:type="default" r:id="rId11"/>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Future Factory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Factory – Ontwikkeling van idee naar fabriekssysteem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