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Coaching impact report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D52D91"/>
          <w:sz w:val="19"/>
          <w:szCs w:val="19"/>
        </w:rPr>
        <w:t xml:space="preserve">One page. Lead with what matters. Nothing a coachee hasn't agreed to share.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Programme: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[name]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Period: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[start - end]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Number of coachees: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[number]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Prepared by: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[name, role]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we set out to do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The goals agreed in the three-way conversations, grouped into themes. Themes only, never named individuals.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[e.g. "Most of this group focused on delegation and difficult conversations."]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changed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How many goals reached "what we hoped for" or better at the final check-in, and what coachees and managers say they see at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[Goals at "what we hoped for" or better: __ of __]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[Coachee and sponsor chose the same snapshot: __ of __ goals]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[Most common changes managers are seeing:]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Stories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Two or three short success cases, anonymised and agreed with each coachee before sharing.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100" w:hRule="atLeast"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[Who (role, not name) / what they set out to change / what they do differently now / what it led to]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got in the way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Where coaching landed less well, and what you'll change next time. This is what makes the rest believable.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400" w:hRule="atLeast"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[e.g. timing, goals set too broadly, sessions missed]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A cautious estimate (optional)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Only if one is genuinely needed. Show the working: change x share due to coaching x confidence.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50" w:hRule="atLeast"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[Estimate and working]</w:t>
            </w:r>
          </w:p>
        </w:tc>
      </w:tr>
    </w:tbl>
    <w:p>
      <w:pPr>
        <w:spacing w:after="0" w:before="150" w:line="264"/>
      </w:pPr>
      <w:r>
        <w:rPr>
          <w:rFonts w:ascii="Arial" w:cs="Arial" w:eastAsia="Arial" w:hAnsi="Arial"/>
          <w:i/>
          <w:iCs/>
          <w:color w:val="6B5A68"/>
          <w:sz w:val="16"/>
          <w:szCs w:val="16"/>
        </w:rPr>
        <w:t xml:space="preserve">Not included: session content, individual scores, coach notes, or anything a coachee hasn't agreed to share.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Coaching impact report</w:t>
      </w:r>
    </w:p>
    <w:p>
      <w:pPr>
        <w:spacing w:after="160" w:before="0" w:line="264"/>
      </w:pPr>
      <w:r>
        <w:rPr>
          <w:rFonts w:ascii="Arial" w:cs="Arial" w:eastAsia="Arial" w:hAnsi="Arial"/>
          <w:b/>
          <w:bCs/>
          <w:i/>
          <w:iCs/>
          <w:color w:val="D52D91"/>
          <w:sz w:val="19"/>
          <w:szCs w:val="19"/>
        </w:rPr>
        <w:t xml:space="preserve">Worked example. Illustrative only: not a real client or real results.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Programme: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Manager coaching programme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Period: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January - June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Number of coachees: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12 operations managers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Prepared by: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Head of L&amp;D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we set out to do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Goals agreed in three-way conversations with each manager's line manager.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26 goals agreed across 12 coachees. The main themes were delegating routine decisions (8 coachees), handling difficult conversations earlier (6) and protecting time for longer-term work (5).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changed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Final check-in, coachee and sponsor choosing snapshots independently.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18 of 26 goals reached "what we hoped for" or better; 5 were part-way; 3 showed no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Coachee and sponsor chose the same snapshot for 20 of 26 goals.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9 of 12 line managers described a specific change they see "often" or "consistently", most commonly decisions being handled by the team and performance issues being raised sooner.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Stories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Anonymised and agreed with each coachee.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An operations manager whose team escalated almost every scheduling decision now has them handle routine changes, with a weekly review instead of daily interruptions. She has used the time to lead a site improvement project.</w:t>
            </w:r>
          </w:p>
          <w:p>
            <w:pPr>
              <w:spacing w:after="5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A newly promoted team leader handled his first formal performance conversation himself instead of passing it straight to HR. The issue was resolved within a month.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What got in the way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Honest about where coaching landed less well.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Two coachees lost momentum during peak season and missed several sessions. One goal ("be more strategic") was never turned into clear snapshots, so progress couldn't be judged. Next time: avoid peak season for the middle of the programme, and tighten snapshots in the first conversation.</w:t>
            </w:r>
          </w:p>
        </w:tc>
      </w:tr>
    </w:tbl>
    <w:p>
      <w:pPr>
        <w:spacing w:after="30" w:before="170" w:line="264"/>
      </w:pPr>
      <w:r>
        <w:rPr>
          <w:rFonts w:ascii="Arial" w:cs="Arial" w:eastAsia="Arial" w:hAnsi="Arial"/>
          <w:b/>
          <w:bCs/>
          <w:color w:val="D52D91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A cautious estimate (optional)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Time freed from unnecessary escalations, delegation goals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8 managers x 3 hours a week saved on average x 50% put down to coaching x 70% confidence = about 8.4 hours a week across the group. We have not converted this into money.</w:t>
            </w:r>
          </w:p>
        </w:tc>
      </w:tr>
    </w:tbl>
    <w:p>
      <w:pPr>
        <w:spacing w:after="0" w:before="150" w:line="264"/>
      </w:pPr>
      <w:r>
        <w:rPr>
          <w:rFonts w:ascii="Arial" w:cs="Arial" w:eastAsia="Arial" w:hAnsi="Arial"/>
          <w:i/>
          <w:iCs/>
          <w:color w:val="6B5A68"/>
          <w:sz w:val="16"/>
          <w:szCs w:val="16"/>
        </w:rPr>
        <w:t xml:space="preserve">Not included: session content, individual scores, coach notes, or anything a coachee hasn't agreed to share.</w:t>
      </w:r>
    </w:p>
    <w:sectPr>
      <w:headerReference w:type="default" r:id="rId7"/>
      <w:pgSz w:w="11906" w:h="16838" w:orient="portrait"/>
      <w:pgMar w:top="1200" w:right="1440" w:bottom="1250" w:left="144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D52D9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00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3bceaebc28e7cedf07ce8575ca33751c82b10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2026-10-22T11:30:24.959Z</dcterms:created>
  <dcterms:modified xsi:type="dcterms:W3CDTF">2026-10-22T11:30:24.960Z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