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IT Security Incident Response</w:t>
      </w:r>
    </w:p>
    <w:p>
      <w:r>
        <w:rPr>
          <w:sz w:val="20"/>
        </w:rPr>
        <w:t>Document No: SOP-SEC-021 | Revision: 2 | Effective Date: 2026-02-01</w:t>
      </w:r>
    </w:p>
    <w:p>
      <w:pPr>
        <w:pStyle w:val="Heading1"/>
      </w:pPr>
      <w:r>
        <w:t>1. Purpose</w:t>
      </w:r>
    </w:p>
    <w:p>
      <w:r>
        <w:t>This procedure defines the steps the IT Security team must follow when responding to a suspected or confirmed security incident, from initial detection through to post-incident review.</w:t>
      </w:r>
    </w:p>
    <w:p>
      <w:pPr>
        <w:pStyle w:val="Heading1"/>
      </w:pPr>
      <w:r>
        <w:t>2. Incident Severity Levels</w:t>
      </w:r>
    </w:p>
    <w:p>
      <w:r>
        <w:t>Severity 1 (Critical): Active data breach or ransomware affecting production systems. Response required within 15 minutes.</w:t>
        <w:br/>
        <w:t>Severity 2 (High): Suspicious activity on a single system, no confirmed breach. Response required within 1 hour.</w:t>
        <w:br/>
        <w:t>Severity 3 (Medium): Phishing report or policy violation with no system impact. Response required within 4 business hours.</w:t>
      </w:r>
    </w:p>
    <w:p>
      <w:pPr>
        <w:pStyle w:val="Heading1"/>
      </w:pPr>
      <w:r>
        <w:t>3. Detection and Triage</w:t>
      </w:r>
    </w:p>
    <w:p>
      <w:r>
        <w:t>Upon receiving an alert from the SIEM system or a report from an employee, the on-call security analyst must triage within the response window defined by severity level. Triage includes confirming the incident is genuine, assigning a severity level, and opening a ticket in the incident tracker.</w:t>
      </w:r>
    </w:p>
    <w:p>
      <w:pPr>
        <w:pStyle w:val="Heading1"/>
      </w:pPr>
      <w:r>
        <w:t>4. Containment</w:t>
      </w:r>
    </w:p>
    <w:p>
      <w:r>
        <w:t>For Severity 1 incidents, the affected system must be isolated from the network immediately, even before full investigation, to prevent lateral movement. Isolation requires sign-off from the Security Lead or, if unavailable, the IT Director.</w:t>
      </w:r>
    </w:p>
    <w:p>
      <w:pPr>
        <w:pStyle w:val="Heading1"/>
      </w:pPr>
      <w:r>
        <w:t>5. Communication Protocol</w:t>
      </w:r>
    </w:p>
    <w:p>
      <w:r>
        <w:t>Severity 1 incidents require notifying the CISO within 30 minutes and Legal within 2 hours, due to potential regulatory disclosure obligations. All external communication about an incident must be approved by Legal and Corporate Communications before release.</w:t>
      </w:r>
    </w:p>
    <w:p>
      <w:pPr>
        <w:pStyle w:val="Heading1"/>
      </w:pPr>
      <w:r>
        <w:t>6. Recovery and Closure</w:t>
      </w:r>
    </w:p>
    <w:p>
      <w:r>
        <w:t>Systems may be returned to production only after the Security Lead confirms the root cause has been remediated and a vulnerability scan shows no remaining indicators of compromise. The incident ticket is closed only after a post-incident review document is filed.</w:t>
      </w:r>
    </w:p>
    <w:p>
      <w:pPr>
        <w:pStyle w:val="Heading1"/>
      </w:pPr>
      <w:r>
        <w:t>7.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On-call Security Analyst</w:t>
            </w:r>
          </w:p>
        </w:tc>
        <w:tc>
          <w:tcPr>
            <w:tcW w:type="dxa" w:w="4320"/>
          </w:tcPr>
          <w:p>
            <w:r>
              <w:t>First responder, triage, initial containment</w:t>
            </w:r>
          </w:p>
        </w:tc>
      </w:tr>
      <w:tr>
        <w:tc>
          <w:tcPr>
            <w:tcW w:type="dxa" w:w="4320"/>
          </w:tcPr>
          <w:p>
            <w:r>
              <w:t>Security Lead</w:t>
            </w:r>
          </w:p>
        </w:tc>
        <w:tc>
          <w:tcPr>
            <w:tcW w:type="dxa" w:w="4320"/>
          </w:tcPr>
          <w:p>
            <w:r>
              <w:t>Approves containment actions, coordinates response</w:t>
            </w:r>
          </w:p>
        </w:tc>
      </w:tr>
      <w:tr>
        <w:tc>
          <w:tcPr>
            <w:tcW w:type="dxa" w:w="4320"/>
          </w:tcPr>
          <w:p>
            <w:r>
              <w:t>CISO</w:t>
            </w:r>
          </w:p>
        </w:tc>
        <w:tc>
          <w:tcPr>
            <w:tcW w:type="dxa" w:w="4320"/>
          </w:tcPr>
          <w:p>
            <w:r>
              <w:t>Notified for Sev-1, makes disclosure decisions with Legal</w:t>
            </w:r>
          </w:p>
        </w:tc>
      </w:tr>
      <w:tr>
        <w:tc>
          <w:tcPr>
            <w:tcW w:type="dxa" w:w="4320"/>
          </w:tcPr>
          <w:p>
            <w:r>
              <w:t>IT Director</w:t>
            </w:r>
          </w:p>
        </w:tc>
        <w:tc>
          <w:tcPr>
            <w:tcW w:type="dxa" w:w="4320"/>
          </w:tcPr>
          <w:p>
            <w:r>
              <w:t>Backup approver when Security Lead unavailable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