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8. 企业将离职员工列入“黑名单”案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所属场景：就业、劳动管理与跨境HR数据场景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企业将离职员工列入“黑名单”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某员工与原公司协商一致解除劳动合同并取得经济补偿。离职后，公司将其列入内部“黑名单”，并表示不再录用。后来，该员工向其他公司求职时，原公司人员又向新公司人员告知其“黑名单”情况，导致其求职受阻。员工认为，原公司将其列入黑名单并对外披露，侵害其平等就业权，遂向法院起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法院认为，劳动者依法取得经济补偿是法律赋予的权利，企业不能以劳动者依法维权或取得经济补偿为由限制其后续就业。公司将员工列入“黑名单”，并向其他公司披露相关信息，使其在求职中受到否定性评价，明显超出企业用工自主权的合理范围，构成对劳动者平等就业权的侵害。法院判令公司将员工从“黑名单”中移出，并赔偿误工损失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案说明，离职员工信息不得被用作限制就业、行业排斥或负面标签传播的工具。企业基于内部管理需要建立离职人员记录，应当限于合法、正当、必要范围，不得任意扩大为行业共享黑名单。若黑名单中包含员工姓名、身份证号、联系方式、离职原因、劳动争议经历、维权记录等信息，并被用于集团内部或同行之间共享，既可能违反《个人信息保护法》第十条关于禁止非法买卖、提供或者公开他人个人信息的规定，也可能侵犯劳动者平等就业权和名誉权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企业将离职员工纳入内部或行业“黑名单”，用于限制再次录用、背调或对外评价，可能影响劳动者就业机会和人格评价。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《个人信息保护法》第5条、第6条、第13条、第24条、第47条、第51条；《民法典》名誉权、个人信息权益规则；《就业促进法》公平就业原则。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“黑名单”具有自动化评价和信用惩戒属性，应有明确合法依据、事实基础、告知和异议机制。企业不得以内部管理名义形成事实性就业限制。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场景1 · 案例8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