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9. 某跨国品牌个人信息违规出境案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1. 某跨国品牌个人信息违规出境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安机关公布的行政执法典型案例显示，某跨国品牌中国公司在未通过数据出境安全评估、未订立个人信息出境标准合同、未通过个人信息保护认证的情况下，违规向境外总部传输境内用户个人信息。同时，该公司未向用户充分告知境外接收方的处理方式，未取得用户的单独同意，也未对收集的个人信息采取加密、去标识化等安全技术措施。公安机关依法对该公司作出行政处罚，并责令限期改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虽然主要涉及消费者个人信息出境，但对于跨国企业处理员工个人信息具有直接警示意义。无论是用户数据还是员工数据，只要境内收集、产生的个人信息被境外总部、境外关联公司或境外系统访问、调取、存储或处理，就可能构成个人信息出境。企业不能以“集团内部管理”“统一系统部署”“总部合规审计”为由排除《个人信息保护法》的适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就业场景看，跨国企业使用全球HR系统时，应当先盘点出境数据的类型、数量、敏感程度、出境目的、境外接收方和保存期限，判断是否需要安全评估、标准合同、个人信息保护认证或是否适用跨境人力资源管理豁免。同时，还应向员工单独告知出境事项，并取得单独同意，避免将员工薪资、绩效、健康、金融账户等敏感信息无差别同步至境外系统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安机关公布的行政执法案例显示，某跨国品牌中国公司未通过数据出境安全评估、未订立标准合同、未通过认证，即向境外总部传输境内用户个人信息；同时未充分告知、未取得单独同意，也未采取加密、去标识化措施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《个人信息保护法》第13条、第17条、第29条、第38条至第40条、第51条、第55条；《数据出境安全评估办法》；个人信息出境标准合同相关规则。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跨国企业使用全球 HR 系统时，应盘点员工薪酬、绩效、健康、金融账户等数据，判断是否出境、是否触发安全评估或标准合同，并进行单独告知和影响评估。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案例9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