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10. Bărbulescu v. Romania 员工电子通信监控案</w:t>
      </w:r>
    </w:p>
    <w:p>
      <w:pPr>
        <w:spacing w:after="240"/>
        <w:jc w:val="center"/>
      </w:pPr>
      <w:r>
        <w:rPr>
          <w:rFonts w:ascii="楷体" w:hAnsi="楷体" w:eastAsia="楷体"/>
          <w:b w:val="0"/>
          <w:color w:val="666666"/>
          <w:sz w:val="24"/>
        </w:rPr>
        <w:t>所属场景：就业、劳动管理与跨境HR数据场景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资料来源：欧洲人权法院（ECHR）：Grand Chamber judgment Bărbulescu v. Romania；原文链接</w:t>
      </w:r>
    </w:p>
    <w:p>
      <w:pPr>
        <w:spacing w:line="360" w:lineRule="auto" w:after="120"/>
      </w:pPr>
      <w:r>
        <w:rPr>
          <w:rFonts w:ascii="宋体" w:hAnsi="宋体" w:eastAsia="宋体"/>
          <w:b/>
          <w:sz w:val="24"/>
        </w:rPr>
        <w:t>1、案例事实</w:t>
      </w:r>
    </w:p>
    <w:p>
      <w:pPr>
        <w:spacing w:line="360" w:lineRule="auto" w:after="120"/>
        <w:ind w:firstLine="420"/>
      </w:pPr>
      <w:r>
        <w:rPr>
          <w:rFonts w:ascii="宋体" w:hAnsi="宋体" w:eastAsia="宋体"/>
          <w:b w:val="0"/>
          <w:sz w:val="24"/>
        </w:rPr>
        <w:t>罗马尼亚员工 Bărbulescu 应雇主要求使用 Yahoo Messenger 账号处理客户咨询。雇主内部规则禁止将公司资源用于私人目的。雇主监控该账号通信内容后，发现员工存在私人通信，并据此解除劳动合同。员工主张雇主读取通信内容侵害其私人生活和通信权。</w:t>
      </w:r>
    </w:p>
    <w:p>
      <w:pPr>
        <w:spacing w:line="360" w:lineRule="auto" w:after="120"/>
        <w:ind w:firstLine="420"/>
      </w:pPr>
      <w:r>
        <w:rPr>
          <w:rFonts w:ascii="宋体" w:hAnsi="宋体" w:eastAsia="宋体"/>
          <w:b w:val="0"/>
          <w:sz w:val="24"/>
        </w:rPr>
        <w:t>案件最终进入欧洲人权法院大审判庭。大审判庭认为，罗马尼亚国内法院未能在雇主利益与员工私人生活和通信权之间进行公平平衡，未充分审查员工是否被事先明确告知通信内容可能被监控、监控范围和侵入程度等因素。</w:t>
      </w:r>
    </w:p>
    <w:p>
      <w:pPr>
        <w:spacing w:line="360" w:lineRule="auto" w:after="120"/>
      </w:pPr>
      <w:r>
        <w:rPr>
          <w:rFonts w:ascii="宋体" w:hAnsi="宋体" w:eastAsia="宋体"/>
          <w:b/>
          <w:sz w:val="24"/>
        </w:rPr>
        <w:t>2、争议焦点</w:t>
      </w:r>
    </w:p>
    <w:p>
      <w:pPr>
        <w:spacing w:line="360" w:lineRule="auto" w:after="120"/>
        <w:ind w:firstLine="420"/>
      </w:pPr>
      <w:r>
        <w:rPr>
          <w:rFonts w:ascii="宋体" w:hAnsi="宋体" w:eastAsia="宋体"/>
          <w:b w:val="0"/>
          <w:sz w:val="24"/>
        </w:rPr>
        <w:t>用人单位是否可以为了核查员工是否违反工作规则，监控并读取员工工作账号中的通信内容；国内法院在审查解雇合法性时，应如何平衡雇主经营管理利益与员工隐私、通信自由。</w:t>
      </w:r>
    </w:p>
    <w:p>
      <w:pPr>
        <w:spacing w:line="360" w:lineRule="auto" w:after="120"/>
      </w:pPr>
      <w:r>
        <w:rPr>
          <w:rFonts w:ascii="宋体" w:hAnsi="宋体" w:eastAsia="宋体"/>
          <w:b/>
          <w:sz w:val="24"/>
        </w:rPr>
        <w:t>3、涉及法律条文</w:t>
      </w:r>
    </w:p>
    <w:p>
      <w:pPr>
        <w:spacing w:line="360" w:lineRule="auto" w:after="120"/>
        <w:ind w:firstLine="420"/>
      </w:pPr>
      <w:r>
        <w:rPr>
          <w:rFonts w:ascii="宋体" w:hAnsi="宋体" w:eastAsia="宋体"/>
          <w:b w:val="0"/>
          <w:sz w:val="24"/>
        </w:rPr>
        <w:t>《欧洲人权公约》第8条关于私人生活和通信受尊重权利的规定；若置于我国法语境下，可对应《宪法》第四十条、《民法典》第一千零三十二条至第一千零三十九条、《个人信息保护法》第十三条和第五十一条。</w:t>
      </w:r>
    </w:p>
    <w:p>
      <w:pPr>
        <w:spacing w:line="360" w:lineRule="auto" w:after="120"/>
      </w:pPr>
      <w:r>
        <w:rPr>
          <w:rFonts w:ascii="宋体" w:hAnsi="宋体" w:eastAsia="宋体"/>
          <w:b/>
          <w:sz w:val="24"/>
        </w:rPr>
        <w:t>4、法院判决/处理结果</w:t>
      </w:r>
    </w:p>
    <w:p>
      <w:pPr>
        <w:spacing w:line="360" w:lineRule="auto" w:after="120"/>
        <w:ind w:firstLine="420"/>
      </w:pPr>
      <w:r>
        <w:rPr>
          <w:rFonts w:ascii="宋体" w:hAnsi="宋体" w:eastAsia="宋体"/>
          <w:b w:val="0"/>
          <w:sz w:val="24"/>
        </w:rPr>
        <w:t>欧洲人权法院大审判庭于2017年判定，罗马尼亚违反《欧洲人权公约》第8条。法院强调，职场监控需要考虑事先通知、监控范围、合法理由、替代措施、监控后果和保障措施等因素。</w:t>
      </w:r>
    </w:p>
    <w:p>
      <w:pPr>
        <w:spacing w:line="360" w:lineRule="auto" w:after="120"/>
      </w:pPr>
      <w:r>
        <w:rPr>
          <w:rFonts w:ascii="宋体" w:hAnsi="宋体" w:eastAsia="宋体"/>
          <w:b/>
          <w:sz w:val="24"/>
        </w:rPr>
        <w:t>5、法律问题分析</w:t>
      </w:r>
    </w:p>
    <w:p>
      <w:pPr>
        <w:spacing w:line="360" w:lineRule="auto" w:after="120"/>
        <w:ind w:firstLine="420"/>
      </w:pPr>
      <w:r>
        <w:rPr>
          <w:rFonts w:ascii="宋体" w:hAnsi="宋体" w:eastAsia="宋体"/>
          <w:b w:val="0"/>
          <w:sz w:val="24"/>
        </w:rPr>
        <w:t>本案是职场通信监控的经典案例。它并未否定用人单位进行合理管理和安全监测的可能性，但要求监控必须透明、必要、相称，并优先考虑侵害较小的替代措施。</w:t>
      </w:r>
    </w:p>
    <w:p>
      <w:pPr>
        <w:spacing w:line="360" w:lineRule="auto" w:after="120"/>
        <w:ind w:firstLine="420"/>
      </w:pPr>
      <w:r>
        <w:rPr>
          <w:rFonts w:ascii="宋体" w:hAnsi="宋体" w:eastAsia="宋体"/>
          <w:b w:val="0"/>
          <w:sz w:val="24"/>
        </w:rPr>
        <w:t>在我国场景下，用人单位检查办公电脑、企业邮箱或即时通讯工具时，也应事先通过规章制度和隐私告知明确监测范围、目的、触发条件和保存期限。除非存在严重违规或法定程序要求，不应直接读取员工私人通信内容。</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欧洲人权法院审查雇主监控员工工作即时通讯账号的行为，重点考察雇主是否事先告知、监控范围是否必要、员工是否仍有合理隐私期待。</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《欧洲人权公约》第8条；对应我国可参照《民法典》隐私权规则、《个人信息保护法》第5条、第6条、第17条、第51条。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员工使用工作系统不当然放弃隐私。企业监控电子通信前应明确制度、告知范围，尽量采用低侵害方式，并保留必要性论证。</w:t>
      </w:r>
    </w:p>
    <w:p>
      <w:pPr>
        <w:spacing w:before="480"/>
        <w:jc w:val="center"/>
      </w:pPr>
      <w:r>
        <w:rPr>
          <w:rFonts w:ascii="宋体" w:hAnsi="宋体" w:eastAsia="宋体"/>
          <w:b w:val="0"/>
          <w:color w:val="999999"/>
          <w:sz w:val="20"/>
        </w:rPr>
        <w:t>场景1 · 案例10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