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11. López Ribalda and Others v. Spain 工作场所隐蔽视频监控案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资料来源：欧洲人权法院（ECHR）：López Ribalda and Others v. Spain；原文链接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西班牙一家超市发现库存和销售额之间存在严重差异，怀疑员工盗窃，于是在店内安装可见摄像头和隐蔽摄像头。可见摄像头对准出入口，隐蔽摄像头对准收银台。相关视频显示员工存在盗窃行为，部分员工被解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员工认为隐蔽视频监控未事先告知，侵犯隐私权。案件最终由欧洲人权法院大审判庭审理。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用人单位在怀疑严重盗窃等不当行为时，能否在未事先告知员工的情况下短期使用隐蔽视频监控；隐蔽监控所得证据能否用于劳动处分和司法程序。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欧洲人权公约》第8条；西班牙劳动和数据保护相关规则。若置于我国法语境下，可对应《个人信息保护法》第十三条、第十七条、第五十一条，《民法典》隐私权和个人信息保护规定，以及劳动规章制度合法性要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欧洲人权法院大审判庭认为，在该案具体事实下，隐蔽视频监控有合理怀疑基础，范围限于收银区域，持续时间有限，且用于调查严重财产损失，未违反《欧洲人权公约》第8条。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该案说明，职场隐蔽监控并非绝对禁止，但适用条件非常严格。必须存在具体、严重、现实的风险或违法嫌疑，监控区域和时间应尽可能缩小，不能对员工日常行为进行长期、全方位捕捉。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我国企业若因信息安全、盗窃或商业秘密泄露需要临时调查，也应坚持比例原则和证据必要性。普通考勤、绩效管理或效率提升不能成为长期隐蔽摄像、录音或屏幕监控的理由。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超市为调查盗窃问题安装隐蔽摄像头，欧洲人权法院围绕是否有重大怀疑、监控范围和持续时间是否受限、员工是否获合理保障进行审查。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《欧洲人权公约》第8条；对应我国可参照《民法典》隐私权规则、《个人信息保护法》第5条、第6条、第17条、第51条。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隐蔽监控只有在存在具体重大风险、公开方式难以实现目的且范围严格受限时才可能被认可。日常管理不宜使用隐蔽摄像替代公开制度。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案例11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