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1. 小鹏汽车门店采集人脸照片案</w:t>
      </w:r>
    </w:p>
    <w:p>
      <w:pPr>
        <w:spacing w:after="240"/>
        <w:jc w:val="center"/>
      </w:pPr>
      <w:r>
        <w:rPr>
          <w:rFonts w:ascii="楷体" w:hAnsi="楷体" w:eastAsia="楷体"/>
          <w:b w:val="0"/>
          <w:color w:val="666666"/>
          <w:sz w:val="24"/>
        </w:rPr>
        <w:t>所属场景：智能网联汽车、车联网与出行平台场景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ind w:firstLine="420"/>
      </w:pPr>
      <w:r>
        <w:rPr>
          <w:rFonts w:ascii="宋体" w:hAnsi="宋体" w:eastAsia="宋体"/>
          <w:b w:val="0"/>
          <w:sz w:val="24"/>
        </w:rPr>
        <w:t>上海小鹏汽车销售服务有限公司曾因在门店安装人脸识别摄像设备采集消费者面部识别数据受到行政处罚。公开报道显示，当事人在旗下多家门店安装人脸识别设备，在未取得消费者同意、也未明示告知消费者收集和使用目的的情况下，非法采集上传人脸照片43万余张，后被上海市徐汇区市场监管局处以罚款。小鹏汽车随后公开道歉，并拆除相关门店的人脸识别摄像设备，相关上传照片由第三方公司删除。</w:t>
      </w:r>
    </w:p>
    <w:p>
      <w:pPr>
        <w:spacing w:line="360" w:lineRule="auto" w:after="120"/>
        <w:ind w:firstLine="420"/>
      </w:pPr>
      <w:r>
        <w:rPr>
          <w:rFonts w:ascii="宋体" w:hAnsi="宋体" w:eastAsia="宋体"/>
          <w:b w:val="0"/>
          <w:sz w:val="24"/>
        </w:rPr>
        <w:t>该案虽然发生在汽车销售门店场景，但与智能网联汽车数据治理具有直接关联，因为汽车数据保护并不只发生在车辆运行过程中，也贯穿销售、试驾、售后、维修和用户服务全流程。消费者进入汽车门店进行咨询、试驾或购车时，其面部信息、到店记录、消费偏好等均可能被采集并用于客户识别、营销分析或服务管理。人脸信息属于典型生物识别信息，具有唯一性和不可更改性，一旦泄露或者被滥用，将对个人权益造成较高风险。</w:t>
      </w:r>
    </w:p>
    <w:p>
      <w:pPr>
        <w:spacing w:line="360" w:lineRule="auto" w:after="120"/>
        <w:ind w:firstLine="420"/>
      </w:pPr>
      <w:r>
        <w:rPr>
          <w:rFonts w:ascii="宋体" w:hAnsi="宋体" w:eastAsia="宋体"/>
          <w:b w:val="0"/>
          <w:sz w:val="24"/>
        </w:rPr>
        <w:t>从《个人信息保护法》的角度看，车企在销售和服务场景处理人脸信息，应当说明采集目的、处理方式、保存期限、第三方提供情况以及个人行使权利的方式，并取得个人单独同意。以“提升服务质量”“门店管理”“客户分析”为由默认采集人脸信息，通常难以满足特定目的、充分必要和最小必要要求。该案提示，智能网联汽车企业不能只关注车辆运行数据，也应将门店、App、售后、试驾、客服等外围场景纳入统一的个人信息保护体系。</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上海小鹏汽车销售服务有限公司在门店安装人脸识别设备，未明示告知也未取得消费者同意，采集上传人脸照片 43 万余张，后被市场监管部门处罚并拆除设备。</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《个人信息保护法》第5条、第6条、第13条、第17条、第28条、第29条、第30条、第51条；《消费者权益保护法》第29条。</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人脸信息属于生物识别类敏感个人信息。汽车企业的数据治理不只限于车辆运行，也应覆盖门店、试驾、售后、App、客服和第三方营销链条。</w:t>
      </w:r>
    </w:p>
    <w:p>
      <w:pPr>
        <w:spacing w:before="480"/>
        <w:jc w:val="center"/>
      </w:pPr>
      <w:r>
        <w:rPr>
          <w:rFonts w:ascii="宋体" w:hAnsi="宋体" w:eastAsia="宋体"/>
          <w:b w:val="0"/>
          <w:color w:val="999999"/>
          <w:sz w:val="20"/>
        </w:rPr>
        <w:t>场景2 · 案例1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