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5. 滴滴全球股份有限公司网络安全审查行政处罚案</w:t>
      </w:r>
    </w:p>
    <w:p>
      <w:pPr>
        <w:spacing w:after="240"/>
        <w:jc w:val="center"/>
      </w:pPr>
      <w:r>
        <w:rPr>
          <w:rFonts w:ascii="楷体" w:hAnsi="楷体" w:eastAsia="楷体"/>
          <w:b w:val="0"/>
          <w:color w:val="666666"/>
          <w:sz w:val="24"/>
        </w:rPr>
        <w:t>所属场景：智能网联汽车、车联网与出行平台场景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资料来源：国家互联网信息办公室：《对滴滴全球股份有限公司依法作出网络安全审查相关行政处罚的决定》及答记者问；</w:t>
      </w:r>
    </w:p>
    <w:p>
      <w:pPr>
        <w:spacing w:line="360" w:lineRule="auto" w:after="120"/>
      </w:pPr>
      <w:r>
        <w:rPr>
          <w:rFonts w:ascii="宋体" w:hAnsi="宋体" w:eastAsia="宋体"/>
          <w:b/>
          <w:sz w:val="24"/>
        </w:rPr>
        <w:t>1、案例事实</w:t>
      </w:r>
    </w:p>
    <w:p>
      <w:pPr>
        <w:spacing w:line="360" w:lineRule="auto" w:after="120"/>
        <w:ind w:firstLine="420"/>
      </w:pPr>
      <w:r>
        <w:rPr>
          <w:rFonts w:ascii="宋体" w:hAnsi="宋体" w:eastAsia="宋体"/>
          <w:b w:val="0"/>
          <w:sz w:val="24"/>
        </w:rPr>
        <w:t>2022年7月21日，国家互联网信息办公室公布对滴滴全球股份有限公司的网络安全审查相关行政处罚决定。经查，滴滴存在多项违法违规处理个人信息行为，包括违法收集用户手机相册截图信息，过度收集剪切板信息、应用列表信息，过度收集乘客人脸识别信息、年龄段、职业、亲情关系、“家”和“公司”打车地址信息，以及过度收集精准位置数据等。</w:t>
      </w:r>
    </w:p>
    <w:p>
      <w:pPr>
        <w:spacing w:line="360" w:lineRule="auto" w:after="120"/>
        <w:ind w:firstLine="420"/>
      </w:pPr>
      <w:r>
        <w:rPr>
          <w:rFonts w:ascii="宋体" w:hAnsi="宋体" w:eastAsia="宋体"/>
          <w:b w:val="0"/>
          <w:sz w:val="24"/>
        </w:rPr>
        <w:t>监管通报显示，滴滴违法处理个人信息达647.09亿条，其中包括人脸识别信息、精准位置信息、身份证号等多类敏感个人信息。国家网信办最终对滴滴处以人民币80.26亿元罚款，并对公司董事长兼CEO程维、总裁柳青各处人民币100万元罚款。</w:t>
      </w:r>
    </w:p>
    <w:p>
      <w:pPr>
        <w:spacing w:line="360" w:lineRule="auto" w:after="120"/>
      </w:pPr>
      <w:r>
        <w:rPr>
          <w:rFonts w:ascii="宋体" w:hAnsi="宋体" w:eastAsia="宋体"/>
          <w:b/>
          <w:sz w:val="24"/>
        </w:rPr>
        <w:t>2、争议焦点</w:t>
      </w:r>
    </w:p>
    <w:p>
      <w:pPr>
        <w:spacing w:line="360" w:lineRule="auto" w:after="120"/>
        <w:ind w:firstLine="420"/>
      </w:pPr>
      <w:r>
        <w:rPr>
          <w:rFonts w:ascii="宋体" w:hAnsi="宋体" w:eastAsia="宋体"/>
          <w:b w:val="0"/>
          <w:sz w:val="24"/>
        </w:rPr>
        <w:t>网约车和出行平台是否可以基于优化出行、提升安全、反作弊或商业运营需要，长期、批量、隐蔽处理乘客和司机的精准位置、出行意图、人脸识别、亲情关系等敏感个人信息。</w:t>
      </w:r>
    </w:p>
    <w:p>
      <w:pPr>
        <w:spacing w:line="360" w:lineRule="auto" w:after="120"/>
      </w:pPr>
      <w:r>
        <w:rPr>
          <w:rFonts w:ascii="宋体" w:hAnsi="宋体" w:eastAsia="宋体"/>
          <w:b/>
          <w:sz w:val="24"/>
        </w:rPr>
        <w:t>3、涉及法律条文</w:t>
      </w:r>
    </w:p>
    <w:p>
      <w:pPr>
        <w:spacing w:line="360" w:lineRule="auto" w:after="120"/>
        <w:ind w:firstLine="420"/>
      </w:pPr>
      <w:r>
        <w:rPr>
          <w:rFonts w:ascii="宋体" w:hAnsi="宋体" w:eastAsia="宋体"/>
          <w:b w:val="0"/>
          <w:sz w:val="24"/>
        </w:rPr>
        <w:t>《个人信息保护法》第五条、第六条、第十七条、第二十八条、第二十九条、第五十一条；《数据安全法》第二十七条、第二十九条；《网络安全法》第四十一条、第四十二条；《行政处罚法》关于行政处罚的相关规定。</w:t>
      </w:r>
    </w:p>
    <w:p>
      <w:pPr>
        <w:spacing w:line="360" w:lineRule="auto" w:after="120"/>
      </w:pPr>
      <w:r>
        <w:rPr>
          <w:rFonts w:ascii="宋体" w:hAnsi="宋体" w:eastAsia="宋体"/>
          <w:b/>
          <w:sz w:val="24"/>
        </w:rPr>
        <w:t>4、法院判决/处理结果</w:t>
      </w:r>
    </w:p>
    <w:p>
      <w:pPr>
        <w:spacing w:line="360" w:lineRule="auto" w:after="120"/>
        <w:ind w:firstLine="420"/>
      </w:pPr>
      <w:r>
        <w:rPr>
          <w:rFonts w:ascii="宋体" w:hAnsi="宋体" w:eastAsia="宋体"/>
          <w:b w:val="0"/>
          <w:sz w:val="24"/>
        </w:rPr>
        <w:t>本案属于网络安全审查后的行政处罚案件。国家网信办认定滴滴违反《网络安全法》《数据安全法》《个人信息保护法》等法律法规，对滴滴处以80.26亿元罚款，并对相关负责人分别处以100万元罚款。</w:t>
      </w:r>
    </w:p>
    <w:p>
      <w:pPr>
        <w:spacing w:line="360" w:lineRule="auto" w:after="120"/>
      </w:pPr>
      <w:r>
        <w:rPr>
          <w:rFonts w:ascii="宋体" w:hAnsi="宋体" w:eastAsia="宋体"/>
          <w:b/>
          <w:sz w:val="24"/>
        </w:rPr>
        <w:t>5、法律问题分析</w:t>
      </w:r>
    </w:p>
    <w:p>
      <w:pPr>
        <w:spacing w:line="360" w:lineRule="auto" w:after="120"/>
        <w:ind w:firstLine="420"/>
      </w:pPr>
      <w:r>
        <w:rPr>
          <w:rFonts w:ascii="宋体" w:hAnsi="宋体" w:eastAsia="宋体"/>
          <w:b w:val="0"/>
          <w:sz w:val="24"/>
        </w:rPr>
        <w:t>本案与车联网、智联网场景高度相关，因为网约车平台连接了车辆、司机、乘客、道路和平台算法，持续处理位置轨迹、出行习惯和人脸识别等敏感个人信息。其合规启示在于，出行安全和平台运营不能成为无限制收集数据的理由。</w:t>
      </w:r>
    </w:p>
    <w:p>
      <w:pPr>
        <w:spacing w:line="360" w:lineRule="auto" w:after="120"/>
        <w:ind w:firstLine="420"/>
      </w:pPr>
      <w:r>
        <w:rPr>
          <w:rFonts w:ascii="宋体" w:hAnsi="宋体" w:eastAsia="宋体"/>
          <w:b w:val="0"/>
          <w:sz w:val="24"/>
        </w:rPr>
        <w:t>对车联网企业而言，精准位置、车内外音视频、司机身份和乘客评价数据均应被纳入高风险数据治理范围。企业应当明确每类数据的处理目的、触发条件和保存期限，避免通过概括性授权覆盖后台持续采集、画像分析和跨业务复用。</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2022 年国家网信办公布处罚决定，认定滴滴存在违法收集相册截图、剪切板、应用列表、乘客人脸识别、年龄段、职业、亲情关系、家和公司地址、精准位置等行为，违法处理个人信息达 647.09 亿条，被罚 80.26 亿元，相关负责人各罚 100 万元。</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《个人信息保护法》第5条、第6条、第17条、第28条、第29条、第51条；《数据安全法》第27条、第29条；《网络安全法》第41条、第42条；《行政处罚法》。</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网约车平台连接车辆、司机、乘客、道路和算法，长期处理精准位置和出行画像。安全运营、反作弊和商业优化不能成为无限制收集敏感个人信息的理由。</w:t>
      </w:r>
    </w:p>
    <w:p>
      <w:pPr>
        <w:spacing w:before="480"/>
        <w:jc w:val="center"/>
      </w:pPr>
      <w:r>
        <w:rPr>
          <w:rFonts w:ascii="宋体" w:hAnsi="宋体" w:eastAsia="宋体"/>
          <w:b w:val="0"/>
          <w:color w:val="999999"/>
          <w:sz w:val="20"/>
        </w:rPr>
        <w:t>场景2 · 案例5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