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黑体" w:hAnsi="黑体" w:eastAsia="黑体"/>
          <w:b/>
          <w:sz w:val="36"/>
        </w:rPr>
        <w:t>6. Uber 员工访问和云端安全保护不足案</w:t>
      </w:r>
    </w:p>
    <w:p>
      <w:pPr>
        <w:spacing w:after="240"/>
        <w:jc w:val="center"/>
      </w:pPr>
      <w:r>
        <w:rPr>
          <w:rFonts w:ascii="楷体" w:hAnsi="楷体" w:eastAsia="楷体"/>
          <w:b w:val="0"/>
          <w:color w:val="666666"/>
          <w:sz w:val="24"/>
        </w:rPr>
        <w:t>所属场景：智能网联汽车、车联网与出行平台场景</w:t>
      </w:r>
    </w:p>
    <w:p>
      <w:pPr>
        <w:spacing w:after="200"/>
        <w:jc w:val="center"/>
      </w:pPr>
      <w:r>
        <w:rPr>
          <w:rFonts w:ascii="宋体" w:hAnsi="宋体" w:eastAsia="宋体"/>
          <w:b w:val="0"/>
          <w:color w:val="CCCCCC"/>
          <w:sz w:val="20"/>
        </w:rPr>
        <w:t>——————————————————————————————</w:t>
      </w:r>
    </w:p>
    <w:p>
      <w:pPr>
        <w:spacing w:before="280" w:after="120"/>
      </w:pPr>
      <w:r>
        <w:rPr>
          <w:rFonts w:ascii="黑体" w:hAnsi="黑体" w:eastAsia="黑体"/>
          <w:b/>
          <w:color w:val="1F3A5F"/>
          <w:sz w:val="28"/>
        </w:rPr>
        <w:t>一、详细案情（原始材料）</w:t>
      </w:r>
    </w:p>
    <w:p>
      <w:pPr>
        <w:spacing w:line="360" w:lineRule="auto" w:after="120"/>
      </w:pPr>
      <w:r>
        <w:rPr>
          <w:rFonts w:ascii="宋体" w:hAnsi="宋体" w:eastAsia="宋体"/>
          <w:b/>
          <w:sz w:val="24"/>
        </w:rPr>
        <w:t>资料来源：美国联邦贸易委员会（FTC）：Uber Settles FTC Allegations that It Made Deceptive Privacy and Data Security Claims；</w:t>
      </w:r>
    </w:p>
    <w:p>
      <w:pPr>
        <w:spacing w:line="360" w:lineRule="auto" w:after="120"/>
      </w:pPr>
      <w:r>
        <w:rPr>
          <w:rFonts w:ascii="宋体" w:hAnsi="宋体" w:eastAsia="宋体"/>
          <w:b/>
          <w:sz w:val="24"/>
        </w:rPr>
        <w:t>1、案例事实</w:t>
      </w:r>
    </w:p>
    <w:p>
      <w:pPr>
        <w:spacing w:line="360" w:lineRule="auto" w:after="120"/>
        <w:ind w:firstLine="420"/>
      </w:pPr>
      <w:r>
        <w:rPr>
          <w:rFonts w:ascii="宋体" w:hAnsi="宋体" w:eastAsia="宋体"/>
          <w:b w:val="0"/>
          <w:sz w:val="24"/>
        </w:rPr>
        <w:t>2017年，FTC指控 Uber 在隐私和数据安全承诺方面存在欺骗性陈述。Uber 曾对外宣称严格限制员工访问乘客和司机数据，并持续监控员工访问行为，但 FTC 认为其实际监控不足。FTC还指出，Uber 未能合理保护存储于云端的个人信息，曾发生黑客访问司机姓名和驾驶证号码等数据的事件。</w:t>
      </w:r>
    </w:p>
    <w:p>
      <w:pPr>
        <w:spacing w:line="360" w:lineRule="auto" w:after="120"/>
        <w:ind w:firstLine="420"/>
      </w:pPr>
      <w:r>
        <w:rPr>
          <w:rFonts w:ascii="宋体" w:hAnsi="宋体" w:eastAsia="宋体"/>
          <w:b w:val="0"/>
          <w:sz w:val="24"/>
        </w:rPr>
        <w:t>FTC披露，Uber 在云备份中以可读文本形式存储包括地理位置信息在内的敏感消费者信息，并未采取低成本、合理的安全措施，例如区分访问密钥和采用多因素认证。</w:t>
      </w:r>
    </w:p>
    <w:p>
      <w:pPr>
        <w:spacing w:line="360" w:lineRule="auto" w:after="120"/>
      </w:pPr>
      <w:r>
        <w:rPr>
          <w:rFonts w:ascii="宋体" w:hAnsi="宋体" w:eastAsia="宋体"/>
          <w:b/>
          <w:sz w:val="24"/>
        </w:rPr>
        <w:t>2、争议焦点</w:t>
      </w:r>
    </w:p>
    <w:p>
      <w:pPr>
        <w:spacing w:line="360" w:lineRule="auto" w:after="120"/>
        <w:ind w:firstLine="420"/>
      </w:pPr>
      <w:r>
        <w:rPr>
          <w:rFonts w:ascii="宋体" w:hAnsi="宋体" w:eastAsia="宋体"/>
          <w:b w:val="0"/>
          <w:sz w:val="24"/>
        </w:rPr>
        <w:t>出行平台是否可以在缺乏持续审计和最小权限控制的情况下，让内部员工或工程人员接触乘客、司机位置和身份数据；企业对外作出的隐私安全承诺是否必须与内部真实技术措施一致。</w:t>
      </w:r>
    </w:p>
    <w:p>
      <w:pPr>
        <w:spacing w:line="360" w:lineRule="auto" w:after="120"/>
      </w:pPr>
      <w:r>
        <w:rPr>
          <w:rFonts w:ascii="宋体" w:hAnsi="宋体" w:eastAsia="宋体"/>
          <w:b/>
          <w:sz w:val="24"/>
        </w:rPr>
        <w:t>3、涉及法律条文</w:t>
      </w:r>
    </w:p>
    <w:p>
      <w:pPr>
        <w:spacing w:line="360" w:lineRule="auto" w:after="120"/>
        <w:ind w:firstLine="420"/>
      </w:pPr>
      <w:r>
        <w:rPr>
          <w:rFonts w:ascii="宋体" w:hAnsi="宋体" w:eastAsia="宋体"/>
          <w:b w:val="0"/>
          <w:sz w:val="24"/>
        </w:rPr>
        <w:t>美国《联邦贸易委员会法》第5条关于不公平或欺骗性商业行为的规定。若放入我国法语境，可对应《个人信息保护法》第九条、第五十一条以及《网络安全法》第四十二条关于个人信息处理者安全保障义务的要求。</w:t>
      </w:r>
    </w:p>
    <w:p>
      <w:pPr>
        <w:spacing w:line="360" w:lineRule="auto" w:after="120"/>
      </w:pPr>
      <w:r>
        <w:rPr>
          <w:rFonts w:ascii="宋体" w:hAnsi="宋体" w:eastAsia="宋体"/>
          <w:b/>
          <w:sz w:val="24"/>
        </w:rPr>
        <w:t>4、法院判决/处理结果</w:t>
      </w:r>
    </w:p>
    <w:p>
      <w:pPr>
        <w:spacing w:line="360" w:lineRule="auto" w:after="120"/>
        <w:ind w:firstLine="420"/>
      </w:pPr>
      <w:r>
        <w:rPr>
          <w:rFonts w:ascii="宋体" w:hAnsi="宋体" w:eastAsia="宋体"/>
          <w:b w:val="0"/>
          <w:sz w:val="24"/>
        </w:rPr>
        <w:t>本案以 FTC 监管和解形式处理。Uber 同意建立全面隐私保护计划，不得误导用户其如何监控内部访问和保护数据，并须在20年内定期接受独立第三方隐私审计。</w:t>
      </w:r>
    </w:p>
    <w:p>
      <w:pPr>
        <w:spacing w:line="360" w:lineRule="auto" w:after="120"/>
      </w:pPr>
      <w:r>
        <w:rPr>
          <w:rFonts w:ascii="宋体" w:hAnsi="宋体" w:eastAsia="宋体"/>
          <w:b/>
          <w:sz w:val="24"/>
        </w:rPr>
        <w:t>5、法律问题分析</w:t>
      </w:r>
    </w:p>
    <w:p>
      <w:pPr>
        <w:spacing w:line="360" w:lineRule="auto" w:after="120"/>
        <w:ind w:firstLine="420"/>
      </w:pPr>
      <w:r>
        <w:rPr>
          <w:rFonts w:ascii="宋体" w:hAnsi="宋体" w:eastAsia="宋体"/>
          <w:b w:val="0"/>
          <w:sz w:val="24"/>
        </w:rPr>
        <w:t>本案展示了车联网和出行平台中的“内部权限风险”。位置轨迹和出行记录不只是普通业务数据，而是可以揭示个人生活规律的敏感信息。即使外部没有黑客攻击，内部员工越权访问同样会构成重大隐私风险。</w:t>
      </w:r>
    </w:p>
    <w:p>
      <w:pPr>
        <w:spacing w:line="360" w:lineRule="auto" w:after="120"/>
        <w:ind w:firstLine="420"/>
      </w:pPr>
      <w:r>
        <w:rPr>
          <w:rFonts w:ascii="宋体" w:hAnsi="宋体" w:eastAsia="宋体"/>
          <w:b w:val="0"/>
          <w:sz w:val="24"/>
        </w:rPr>
        <w:t>车联网企业应建立最小权限、按需授权、访问日志、异常访问告警和定期审计机制。对云端数据而言，企业不能只在隐私政策中承诺安全，还必须落实密钥管理、访问控制、加密、备份安全和多因素认证等可验证措施。</w:t>
      </w:r>
    </w:p>
    <w:p>
      <w:pPr>
        <w:spacing w:before="280" w:after="120"/>
      </w:pPr>
      <w:r>
        <w:rPr>
          <w:rFonts w:ascii="黑体" w:hAnsi="黑体" w:eastAsia="黑体"/>
          <w:b/>
          <w:color w:val="1F3A5F"/>
          <w:sz w:val="28"/>
        </w:rPr>
        <w:t>二、具体案情提炼</w:t>
      </w:r>
    </w:p>
    <w:p>
      <w:pPr>
        <w:spacing w:line="360" w:lineRule="auto" w:after="120"/>
        <w:ind w:firstLine="420"/>
      </w:pPr>
      <w:r>
        <w:rPr>
          <w:rFonts w:ascii="宋体" w:hAnsi="宋体" w:eastAsia="宋体"/>
          <w:b w:val="0"/>
          <w:sz w:val="24"/>
        </w:rPr>
        <w:t>FTC 指控 Uber 对外承诺限制员工访问乘客和司机数据、持续监控访问行为，但实际监控不足；同时云端存储和访问密钥管理存在缺陷，导致司机姓名、驾驶证号码等信息被黑客访问。</w:t>
      </w:r>
    </w:p>
    <w:p>
      <w:pPr>
        <w:spacing w:before="280" w:after="120"/>
      </w:pPr>
      <w:r>
        <w:rPr>
          <w:rFonts w:ascii="黑体" w:hAnsi="黑体" w:eastAsia="黑体"/>
          <w:b/>
          <w:color w:val="1F3A5F"/>
          <w:sz w:val="28"/>
        </w:rPr>
        <w:t>三、涉案法条/规范</w:t>
      </w:r>
    </w:p>
    <w:p>
      <w:pPr>
        <w:spacing w:line="360" w:lineRule="auto" w:after="120"/>
        <w:ind w:firstLine="420"/>
      </w:pPr>
      <w:r>
        <w:rPr>
          <w:rFonts w:ascii="宋体" w:hAnsi="宋体" w:eastAsia="宋体"/>
          <w:b w:val="0"/>
          <w:sz w:val="24"/>
        </w:rPr>
        <w:t>美国《联邦贸易委员会法》第5条；对应我国《个人信息保护法》第9条、第51条、《网络安全法》第42条。</w:t>
      </w:r>
    </w:p>
    <w:p>
      <w:pPr>
        <w:spacing w:before="280" w:after="120"/>
      </w:pPr>
      <w:r>
        <w:rPr>
          <w:rFonts w:ascii="黑体" w:hAnsi="黑体" w:eastAsia="黑体"/>
          <w:b/>
          <w:color w:val="1F3A5F"/>
          <w:sz w:val="28"/>
        </w:rPr>
        <w:t>四、案例分析与合规启示</w:t>
      </w:r>
    </w:p>
    <w:p>
      <w:pPr>
        <w:spacing w:line="360" w:lineRule="auto" w:after="120"/>
        <w:ind w:firstLine="420"/>
      </w:pPr>
      <w:r>
        <w:rPr>
          <w:rFonts w:ascii="宋体" w:hAnsi="宋体" w:eastAsia="宋体"/>
          <w:b w:val="0"/>
          <w:sz w:val="24"/>
        </w:rPr>
        <w:t>出行平台的位置轨迹和身份数据对个人生活规律具有揭示性。企业不能只在隐私政策中承诺安全，而应落实密钥管理、MFA、访问日志、异常告警和独立审计。</w:t>
      </w:r>
    </w:p>
    <w:p>
      <w:pPr>
        <w:spacing w:before="480"/>
        <w:jc w:val="center"/>
      </w:pPr>
      <w:r>
        <w:rPr>
          <w:rFonts w:ascii="宋体" w:hAnsi="宋体" w:eastAsia="宋体"/>
          <w:b w:val="0"/>
          <w:color w:val="999999"/>
          <w:sz w:val="20"/>
        </w:rPr>
        <w:t>场景2 · 案例6 · 个人信息数据特殊适用场景案例拆分</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