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黑体" w:hAnsi="黑体" w:eastAsia="黑体"/>
          <w:b/>
          <w:sz w:val="36"/>
        </w:rPr>
        <w:t>1. 外包软件公司非法获取医院挂号用户信息案（博某软件有限公司、何某某等案）</w:t>
      </w:r>
    </w:p>
    <w:p>
      <w:pPr>
        <w:spacing w:after="240"/>
        <w:jc w:val="center"/>
      </w:pPr>
      <w:r>
        <w:rPr>
          <w:rFonts w:ascii="楷体" w:hAnsi="楷体" w:eastAsia="楷体"/>
          <w:b w:val="0"/>
          <w:color w:val="666666"/>
          <w:sz w:val="24"/>
        </w:rPr>
        <w:t>所属场景：医疗健康数据与敏感个人信息保护场景</w:t>
      </w:r>
    </w:p>
    <w:p>
      <w:pPr>
        <w:spacing w:after="200"/>
        <w:jc w:val="center"/>
      </w:pPr>
      <w:r>
        <w:rPr>
          <w:rFonts w:ascii="宋体" w:hAnsi="宋体" w:eastAsia="宋体"/>
          <w:b w:val="0"/>
          <w:color w:val="CCCCCC"/>
          <w:sz w:val="20"/>
        </w:rPr>
        <w:t>——————————————————————————————</w:t>
      </w:r>
    </w:p>
    <w:p>
      <w:pPr>
        <w:spacing w:before="280" w:after="120"/>
      </w:pPr>
      <w:r>
        <w:rPr>
          <w:rFonts w:ascii="黑体" w:hAnsi="黑体" w:eastAsia="黑体"/>
          <w:b/>
          <w:color w:val="1F3A5F"/>
          <w:sz w:val="28"/>
        </w:rPr>
        <w:t>一、详细案情（原始材料）</w:t>
      </w:r>
    </w:p>
    <w:p>
      <w:pPr>
        <w:spacing w:line="360" w:lineRule="auto" w:after="120"/>
      </w:pPr>
      <w:r>
        <w:rPr>
          <w:rFonts w:ascii="宋体" w:hAnsi="宋体" w:eastAsia="宋体"/>
          <w:b/>
          <w:sz w:val="24"/>
        </w:rPr>
        <w:t>资料来源：最高人民法院发布人民法院依法惩治侵犯公民个人信息犯罪及关联犯罪典型案例；中国日报相关报道；原文链接</w:t>
      </w:r>
    </w:p>
    <w:p>
      <w:pPr>
        <w:spacing w:line="360" w:lineRule="auto" w:after="120"/>
      </w:pPr>
      <w:r>
        <w:rPr>
          <w:rFonts w:ascii="宋体" w:hAnsi="宋体" w:eastAsia="宋体"/>
          <w:b/>
          <w:sz w:val="24"/>
        </w:rPr>
        <w:t>1、案例事实</w:t>
      </w:r>
    </w:p>
    <w:p>
      <w:pPr>
        <w:spacing w:line="360" w:lineRule="auto" w:after="120"/>
        <w:ind w:firstLine="420"/>
      </w:pPr>
      <w:r>
        <w:rPr>
          <w:rFonts w:ascii="宋体" w:hAnsi="宋体" w:eastAsia="宋体"/>
          <w:b w:val="0"/>
          <w:sz w:val="24"/>
        </w:rPr>
        <w:t>2015年至2020年间，博某软件有限公司负责为某医院开发、维护网上挂号系统。公司法定代表人何某某在提供服务过程中，暗中收集从后台非法获取的医院挂号用户个人信息，并安排员工将信息导入公司自建数据库。2021年初，又有人员在为医院开发的软件上安装接口，自动将挂号用户个人信息导入公司自建数据库。</w:t>
      </w:r>
    </w:p>
    <w:p>
      <w:pPr>
        <w:spacing w:line="360" w:lineRule="auto" w:after="120"/>
        <w:ind w:firstLine="420"/>
      </w:pPr>
      <w:r>
        <w:rPr>
          <w:rFonts w:ascii="宋体" w:hAnsi="宋体" w:eastAsia="宋体"/>
          <w:b w:val="0"/>
          <w:sz w:val="24"/>
        </w:rPr>
        <w:t>案发后，办案机关在公司服务器、自建数据库及相关设备中提取到包含挂号用户的个人信息，数据去重后合计2878070条。</w:t>
      </w:r>
    </w:p>
    <w:p>
      <w:pPr>
        <w:spacing w:line="360" w:lineRule="auto" w:after="120"/>
      </w:pPr>
      <w:r>
        <w:rPr>
          <w:rFonts w:ascii="宋体" w:hAnsi="宋体" w:eastAsia="宋体"/>
          <w:b/>
          <w:sz w:val="24"/>
        </w:rPr>
        <w:t>2、争议焦点</w:t>
      </w:r>
    </w:p>
    <w:p>
      <w:pPr>
        <w:spacing w:line="360" w:lineRule="auto" w:after="120"/>
        <w:ind w:firstLine="420"/>
      </w:pPr>
      <w:r>
        <w:rPr>
          <w:rFonts w:ascii="宋体" w:hAnsi="宋体" w:eastAsia="宋体"/>
          <w:b w:val="0"/>
          <w:sz w:val="24"/>
        </w:rPr>
        <w:t>软件外包服务商在为医院提供系统开发和维护服务时，能否基于技术便利复制、留存、另建数据库保存患者或挂号用户个人信息。</w:t>
      </w:r>
    </w:p>
    <w:p>
      <w:pPr>
        <w:spacing w:line="360" w:lineRule="auto" w:after="120"/>
      </w:pPr>
      <w:r>
        <w:rPr>
          <w:rFonts w:ascii="宋体" w:hAnsi="宋体" w:eastAsia="宋体"/>
          <w:b/>
          <w:sz w:val="24"/>
        </w:rPr>
        <w:t>3、涉及法律条文</w:t>
      </w:r>
    </w:p>
    <w:p>
      <w:pPr>
        <w:spacing w:line="360" w:lineRule="auto" w:after="120"/>
        <w:ind w:firstLine="420"/>
      </w:pPr>
      <w:r>
        <w:rPr>
          <w:rFonts w:ascii="宋体" w:hAnsi="宋体" w:eastAsia="宋体"/>
          <w:b w:val="0"/>
          <w:sz w:val="24"/>
        </w:rPr>
        <w:t>《刑法》第二百五十三条之一；《个人信息保护法》第二十一条、第二十三条、第五十一条；《网络安全法》第四十条、第四十二条；《数据安全法》第二十七条。</w:t>
      </w:r>
    </w:p>
    <w:p>
      <w:pPr>
        <w:spacing w:line="360" w:lineRule="auto" w:after="120"/>
      </w:pPr>
      <w:r>
        <w:rPr>
          <w:rFonts w:ascii="宋体" w:hAnsi="宋体" w:eastAsia="宋体"/>
          <w:b/>
          <w:sz w:val="24"/>
        </w:rPr>
        <w:t>4、法院判决/处理结果</w:t>
      </w:r>
    </w:p>
    <w:p>
      <w:pPr>
        <w:spacing w:line="360" w:lineRule="auto" w:after="120"/>
        <w:ind w:firstLine="420"/>
      </w:pPr>
      <w:r>
        <w:rPr>
          <w:rFonts w:ascii="宋体" w:hAnsi="宋体" w:eastAsia="宋体"/>
          <w:b w:val="0"/>
          <w:sz w:val="24"/>
        </w:rPr>
        <w:t>江苏省无锡市锡山区人民法院认定，被告单位博某软件有限公司在提供服务过程中非法获取公民个人信息，情节特别严重，构成侵犯公民个人信息罪；何某某等人为单位直接负责的主管人员和其他直接责任人员，亦构成该罪。法院对公司判处罚金人民币三十万元，对何某某等人判处有期徒刑五年六个月至一年六个月不等，并处罚金人民币十万元至一万元不等。</w:t>
      </w:r>
    </w:p>
    <w:p>
      <w:pPr>
        <w:spacing w:line="360" w:lineRule="auto" w:after="120"/>
      </w:pPr>
      <w:r>
        <w:rPr>
          <w:rFonts w:ascii="宋体" w:hAnsi="宋体" w:eastAsia="宋体"/>
          <w:b/>
          <w:sz w:val="24"/>
        </w:rPr>
        <w:t>5、法律问题分析</w:t>
      </w:r>
    </w:p>
    <w:p>
      <w:pPr>
        <w:spacing w:line="360" w:lineRule="auto" w:after="120"/>
        <w:ind w:firstLine="420"/>
      </w:pPr>
      <w:r>
        <w:rPr>
          <w:rFonts w:ascii="宋体" w:hAnsi="宋体" w:eastAsia="宋体"/>
          <w:b w:val="0"/>
          <w:sz w:val="24"/>
        </w:rPr>
        <w:t>本案最能说明“委托处理不等于数据归属转移”。医院系统外包并不意味着外包公司可以将患者信息复制到自建数据库。外包商的数据处理权限来源于合同、授权和服务目的，一旦超出维护系统所必需的范围，即可能构成非法获取。</w:t>
      </w:r>
    </w:p>
    <w:p>
      <w:pPr>
        <w:spacing w:line="360" w:lineRule="auto" w:after="120"/>
        <w:ind w:firstLine="420"/>
      </w:pPr>
      <w:r>
        <w:rPr>
          <w:rFonts w:ascii="宋体" w:hAnsi="宋体" w:eastAsia="宋体"/>
          <w:b w:val="0"/>
          <w:sz w:val="24"/>
        </w:rPr>
        <w:t>医院作为医疗数据处理链条中的核心主体，应对受托方进行资质审查、最小权限授权、接口调用审计、数据导出审批和服务终止后的删除验收。医疗软件公司也应建立内部隔离和访问控制机制，避免技术人员利用后台权限形成事实上的数据控制。</w:t>
      </w:r>
    </w:p>
    <w:p>
      <w:pPr>
        <w:spacing w:before="280" w:after="120"/>
      </w:pPr>
      <w:r>
        <w:rPr>
          <w:rFonts w:ascii="黑体" w:hAnsi="黑体" w:eastAsia="黑体"/>
          <w:b/>
          <w:color w:val="1F3A5F"/>
          <w:sz w:val="28"/>
        </w:rPr>
        <w:t>二、具体案情提炼</w:t>
      </w:r>
    </w:p>
    <w:p>
      <w:pPr>
        <w:spacing w:line="360" w:lineRule="auto" w:after="120"/>
        <w:ind w:firstLine="420"/>
      </w:pPr>
      <w:r>
        <w:rPr>
          <w:rFonts w:ascii="宋体" w:hAnsi="宋体" w:eastAsia="宋体"/>
          <w:b w:val="0"/>
          <w:sz w:val="24"/>
        </w:rPr>
        <w:t>博某软件公司负责某医院网上挂号系统开发维护，法定代表人何某某暗中从后台获取挂号用户信息，并安排员工导入公司自建数据库；后又在医院软件上安装接口，自动导入挂号用户个人信息。</w:t>
      </w:r>
    </w:p>
    <w:p>
      <w:pPr>
        <w:spacing w:before="280" w:after="120"/>
      </w:pPr>
      <w:r>
        <w:rPr>
          <w:rFonts w:ascii="黑体" w:hAnsi="黑体" w:eastAsia="黑体"/>
          <w:b/>
          <w:color w:val="1F3A5F"/>
          <w:sz w:val="28"/>
        </w:rPr>
        <w:t>三、涉案法条/规范</w:t>
      </w:r>
    </w:p>
    <w:p>
      <w:pPr>
        <w:spacing w:line="360" w:lineRule="auto" w:after="120"/>
        <w:ind w:firstLine="420"/>
      </w:pPr>
      <w:r>
        <w:rPr>
          <w:rFonts w:ascii="宋体" w:hAnsi="宋体" w:eastAsia="宋体"/>
          <w:b w:val="0"/>
          <w:sz w:val="24"/>
        </w:rPr>
        <w:t>《刑法》第253条之一；《个人信息保护法》第21条、第28条、第29条、第51条；《网络安全法》第42条。</w:t>
      </w:r>
    </w:p>
    <w:p>
      <w:pPr>
        <w:spacing w:before="280" w:after="120"/>
      </w:pPr>
      <w:r>
        <w:rPr>
          <w:rFonts w:ascii="黑体" w:hAnsi="黑体" w:eastAsia="黑体"/>
          <w:b/>
          <w:color w:val="1F3A5F"/>
          <w:sz w:val="28"/>
        </w:rPr>
        <w:t>四、案例分析与合规启示</w:t>
      </w:r>
    </w:p>
    <w:p>
      <w:pPr>
        <w:spacing w:line="360" w:lineRule="auto" w:after="120"/>
        <w:ind w:firstLine="420"/>
      </w:pPr>
      <w:r>
        <w:rPr>
          <w:rFonts w:ascii="宋体" w:hAnsi="宋体" w:eastAsia="宋体"/>
          <w:b w:val="0"/>
          <w:sz w:val="24"/>
        </w:rPr>
        <w:t>医疗外包服务商只能按医院委托目的处理数据，不得另建数据库、复制留存或二次使用患者信息。医院也应对受托方权限、接口和日志进行审计。</w:t>
      </w:r>
    </w:p>
    <w:p>
      <w:pPr>
        <w:spacing w:before="480"/>
        <w:jc w:val="center"/>
      </w:pPr>
      <w:r>
        <w:rPr>
          <w:rFonts w:ascii="宋体" w:hAnsi="宋体" w:eastAsia="宋体"/>
          <w:b w:val="0"/>
          <w:color w:val="999999"/>
          <w:sz w:val="20"/>
        </w:rPr>
        <w:t>场景3 · 案例1 · 个人信息数据特殊适用场景案例拆分</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