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2. 医疗机构向保险代理机构泄露患者医疗健康信息行政公益诉讼案</w:t>
      </w:r>
    </w:p>
    <w:p>
      <w:pPr>
        <w:spacing w:after="240"/>
        <w:jc w:val="center"/>
      </w:pPr>
      <w:r>
        <w:rPr>
          <w:rFonts w:ascii="楷体" w:hAnsi="楷体" w:eastAsia="楷体"/>
          <w:b w:val="0"/>
          <w:color w:val="666666"/>
          <w:sz w:val="24"/>
        </w:rPr>
        <w:t>所属场景：医疗健康数据与敏感个人信息保护场景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pPr>
      <w:r>
        <w:rPr>
          <w:rFonts w:ascii="宋体" w:hAnsi="宋体" w:eastAsia="宋体"/>
          <w:b/>
          <w:sz w:val="24"/>
        </w:rPr>
        <w:t>资料来源：最高人民检察院：江西省宜春市人民检察院督促保护医疗健康个人信息行政公益诉讼案；原文链接</w:t>
      </w:r>
    </w:p>
    <w:p>
      <w:pPr>
        <w:spacing w:line="360" w:lineRule="auto" w:after="120"/>
      </w:pPr>
      <w:r>
        <w:rPr>
          <w:rFonts w:ascii="宋体" w:hAnsi="宋体" w:eastAsia="宋体"/>
          <w:b/>
          <w:sz w:val="24"/>
        </w:rPr>
        <w:t>1、案例事实</w:t>
      </w:r>
    </w:p>
    <w:p>
      <w:pPr>
        <w:spacing w:line="360" w:lineRule="auto" w:after="120"/>
        <w:ind w:firstLine="420"/>
      </w:pPr>
      <w:r>
        <w:rPr>
          <w:rFonts w:ascii="宋体" w:hAnsi="宋体" w:eastAsia="宋体"/>
          <w:b w:val="0"/>
          <w:sz w:val="24"/>
        </w:rPr>
        <w:t>2021年以来，江西省宜春市中心城区部分大型医院与保险代理机构合作推销保险产品。部分保险代理机构业务人员在推销“手术意外险”等险种时，通过合作医院违法获取患者姓名、手术类型、联系电话等医疗健康信息，并对患者进行精准推销，造成患者不堪其扰。</w:t>
      </w:r>
    </w:p>
    <w:p>
      <w:pPr>
        <w:spacing w:line="360" w:lineRule="auto" w:after="120"/>
        <w:ind w:firstLine="420"/>
      </w:pPr>
      <w:r>
        <w:rPr>
          <w:rFonts w:ascii="宋体" w:hAnsi="宋体" w:eastAsia="宋体"/>
          <w:b w:val="0"/>
          <w:sz w:val="24"/>
        </w:rPr>
        <w:t>检察机关调查发现，保险代理机构人员通过医院手术科室护士站查询纸质病历，或登录病历管理系统，违法获取大量患者医疗健康信息。检察机关还通过大数据比对印证了患者在办理住院手续后不久即接到保险推销电话的事实。</w:t>
      </w:r>
    </w:p>
    <w:p>
      <w:pPr>
        <w:spacing w:line="360" w:lineRule="auto" w:after="120"/>
      </w:pPr>
      <w:r>
        <w:rPr>
          <w:rFonts w:ascii="宋体" w:hAnsi="宋体" w:eastAsia="宋体"/>
          <w:b/>
          <w:sz w:val="24"/>
        </w:rPr>
        <w:t>2、争议焦点</w:t>
      </w:r>
    </w:p>
    <w:p>
      <w:pPr>
        <w:spacing w:line="360" w:lineRule="auto" w:after="120"/>
        <w:ind w:firstLine="420"/>
      </w:pPr>
      <w:r>
        <w:rPr>
          <w:rFonts w:ascii="宋体" w:hAnsi="宋体" w:eastAsia="宋体"/>
          <w:b w:val="0"/>
          <w:sz w:val="24"/>
        </w:rPr>
        <w:t>医院能否基于与保险代理机构的商业合作，将患者手术类型、联系方式等医疗健康信息提供给保险机构用于保险营销。</w:t>
      </w:r>
    </w:p>
    <w:p>
      <w:pPr>
        <w:spacing w:line="360" w:lineRule="auto" w:after="120"/>
      </w:pPr>
      <w:r>
        <w:rPr>
          <w:rFonts w:ascii="宋体" w:hAnsi="宋体" w:eastAsia="宋体"/>
          <w:b/>
          <w:sz w:val="24"/>
        </w:rPr>
        <w:t>3、涉及法律条文</w:t>
      </w:r>
    </w:p>
    <w:p>
      <w:pPr>
        <w:spacing w:line="360" w:lineRule="auto" w:after="120"/>
        <w:ind w:firstLine="420"/>
      </w:pPr>
      <w:r>
        <w:rPr>
          <w:rFonts w:ascii="宋体" w:hAnsi="宋体" w:eastAsia="宋体"/>
          <w:b w:val="0"/>
          <w:sz w:val="24"/>
        </w:rPr>
        <w:t>《个人信息保护法》第五条、第六条、第十三条、第十七条、第二十三条、第二十八条、第二十九条；《民法典》第一千二百二十六条；《医疗机构病历管理规定》关于病历管理和保密的相关要求。</w:t>
      </w:r>
    </w:p>
    <w:p>
      <w:pPr>
        <w:spacing w:line="360" w:lineRule="auto" w:after="120"/>
      </w:pPr>
      <w:r>
        <w:rPr>
          <w:rFonts w:ascii="宋体" w:hAnsi="宋体" w:eastAsia="宋体"/>
          <w:b/>
          <w:sz w:val="24"/>
        </w:rPr>
        <w:t>4、法院判决/处理结果</w:t>
      </w:r>
    </w:p>
    <w:p>
      <w:pPr>
        <w:spacing w:line="360" w:lineRule="auto" w:after="120"/>
        <w:ind w:firstLine="420"/>
      </w:pPr>
      <w:r>
        <w:rPr>
          <w:rFonts w:ascii="宋体" w:hAnsi="宋体" w:eastAsia="宋体"/>
          <w:b w:val="0"/>
          <w:sz w:val="24"/>
        </w:rPr>
        <w:t>本案为行政公益诉讼诉前程序。2022年7月8日，宜春市人民检察院向宜春市卫生健康委员会制发检察建议，要求依法处理相关医院、堵塞患者信息保护漏洞、开展行业清查和宣传教育。宜春市卫健委随后督促涉案医院整改，在全市医疗机构开展患者诊疗信息安全专项整顿，并推动建立风险防范机制。</w:t>
      </w:r>
    </w:p>
    <w:p>
      <w:pPr>
        <w:spacing w:line="360" w:lineRule="auto" w:after="120"/>
      </w:pPr>
      <w:r>
        <w:rPr>
          <w:rFonts w:ascii="宋体" w:hAnsi="宋体" w:eastAsia="宋体"/>
          <w:b/>
          <w:sz w:val="24"/>
        </w:rPr>
        <w:t>5、法律问题分析</w:t>
      </w:r>
    </w:p>
    <w:p>
      <w:pPr>
        <w:spacing w:line="360" w:lineRule="auto" w:after="120"/>
        <w:ind w:firstLine="420"/>
      </w:pPr>
      <w:r>
        <w:rPr>
          <w:rFonts w:ascii="宋体" w:hAnsi="宋体" w:eastAsia="宋体"/>
          <w:b w:val="0"/>
          <w:sz w:val="24"/>
        </w:rPr>
        <w:t>患者向医院提供医疗健康信息，是为了接受诊疗、住院和手术服务，并非为了接受保险营销。医院将患者姓名、联系方式、手术类型等敏感个人信息提供给保险机构，改变了信息处理目的、范围和接收方，缺乏患者单独同意，也不符合诊疗必要性。</w:t>
      </w:r>
    </w:p>
    <w:p>
      <w:pPr>
        <w:spacing w:line="360" w:lineRule="auto" w:after="120"/>
        <w:ind w:firstLine="420"/>
      </w:pPr>
      <w:r>
        <w:rPr>
          <w:rFonts w:ascii="宋体" w:hAnsi="宋体" w:eastAsia="宋体"/>
          <w:b w:val="0"/>
          <w:sz w:val="24"/>
        </w:rPr>
        <w:t>本案提示医疗机构在对外合作时不能以“便民服务”“增值服务”为名突破数据边界。即使保险产品可能与手术风险有关，也应由患者自主选择，并通过独立、清晰、单独的授权完成，而不能由保险人员进入病历系统或护士站提前获取患者信息。</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医疗机构工作人员或相关主体向保险代理机构提供患者姓名、手术类型、联系电话等信息，用于保险营销或业务拓展，检察机关通过行政公益诉讼推动整改。</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《个人信息保护法》第5条、第6条、第13条、第23条、第28条、第29条、第51条；《民法典》个人信息保护规则。</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医疗健康信息不能从诊疗目的无缝转入保险营销。向第三方提供敏感个人信息，应有单独同意、明确目的、必要性和接收方保护措施。</w:t>
      </w:r>
    </w:p>
    <w:p>
      <w:pPr>
        <w:spacing w:before="480"/>
        <w:jc w:val="center"/>
      </w:pPr>
      <w:r>
        <w:rPr>
          <w:rFonts w:ascii="宋体" w:hAnsi="宋体" w:eastAsia="宋体"/>
          <w:b w:val="0"/>
          <w:color w:val="999999"/>
          <w:sz w:val="20"/>
        </w:rPr>
        <w:t>场景3 · 案例2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