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3. GoodRx 向广告平台共享消费者健康数据案</w:t>
      </w:r>
    </w:p>
    <w:p>
      <w:pPr>
        <w:spacing w:after="240"/>
        <w:jc w:val="center"/>
      </w:pPr>
      <w:r>
        <w:rPr>
          <w:rFonts w:ascii="楷体" w:hAnsi="楷体" w:eastAsia="楷体"/>
          <w:b w:val="0"/>
          <w:color w:val="666666"/>
          <w:sz w:val="24"/>
        </w:rPr>
        <w:t>所属场景：医疗健康数据与敏感个人信息保护场景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资料来源：美国联邦贸易委员会（FTC）：GoodRx Health Breach Notification Rule enforcement action；原文链接</w:t>
      </w:r>
    </w:p>
    <w:p>
      <w:pPr>
        <w:spacing w:line="360" w:lineRule="auto" w:after="120"/>
      </w:pPr>
      <w:r>
        <w:rPr>
          <w:rFonts w:ascii="宋体" w:hAnsi="宋体" w:eastAsia="宋体"/>
          <w:b/>
          <w:sz w:val="24"/>
        </w:rPr>
        <w:t>1、案例事实</w:t>
      </w:r>
    </w:p>
    <w:p>
      <w:pPr>
        <w:spacing w:line="360" w:lineRule="auto" w:after="120"/>
        <w:ind w:firstLine="420"/>
      </w:pPr>
      <w:r>
        <w:rPr>
          <w:rFonts w:ascii="宋体" w:hAnsi="宋体" w:eastAsia="宋体"/>
          <w:b w:val="0"/>
          <w:sz w:val="24"/>
        </w:rPr>
        <w:t>GoodRx 是美国一家提供处方药折扣、远程医疗访问和其他数字健康服务的平台。FTC 指控 GoodRx 长期向 Facebook、Google、Criteo 等广告平台和第三方共享用户个人健康信息，包括处方药、健康状况等信息，并将相关信息用于定向广告。</w:t>
      </w:r>
    </w:p>
    <w:p>
      <w:pPr>
        <w:spacing w:line="360" w:lineRule="auto" w:after="120"/>
        <w:ind w:firstLine="420"/>
      </w:pPr>
      <w:r>
        <w:rPr>
          <w:rFonts w:ascii="宋体" w:hAnsi="宋体" w:eastAsia="宋体"/>
          <w:b w:val="0"/>
          <w:sz w:val="24"/>
        </w:rPr>
        <w:t>FTC认为 GoodRx 的做法与其隐私承诺不一致，并且未按照健康数据泄露通知规则向消费者、监管机构和媒体报告未经授权披露健康数据的情况。</w:t>
      </w:r>
    </w:p>
    <w:p>
      <w:pPr>
        <w:spacing w:line="360" w:lineRule="auto" w:after="120"/>
      </w:pPr>
      <w:r>
        <w:rPr>
          <w:rFonts w:ascii="宋体" w:hAnsi="宋体" w:eastAsia="宋体"/>
          <w:b/>
          <w:sz w:val="24"/>
        </w:rPr>
        <w:t>2、争议焦点</w:t>
      </w:r>
    </w:p>
    <w:p>
      <w:pPr>
        <w:spacing w:line="360" w:lineRule="auto" w:after="120"/>
        <w:ind w:firstLine="420"/>
      </w:pPr>
      <w:r>
        <w:rPr>
          <w:rFonts w:ascii="宋体" w:hAnsi="宋体" w:eastAsia="宋体"/>
          <w:b w:val="0"/>
          <w:sz w:val="24"/>
        </w:rPr>
        <w:t>数字健康平台能否将用户处方药、健康状况等敏感健康信息共享给广告平台，用于定向广告和商业变现；平台隐私政策中的承诺是否应约束其 SDK、像素代码和广告技术实践。</w:t>
      </w:r>
    </w:p>
    <w:p>
      <w:pPr>
        <w:spacing w:line="360" w:lineRule="auto" w:after="120"/>
      </w:pPr>
      <w:r>
        <w:rPr>
          <w:rFonts w:ascii="宋体" w:hAnsi="宋体" w:eastAsia="宋体"/>
          <w:b/>
          <w:sz w:val="24"/>
        </w:rPr>
        <w:t>3、涉及法律条文</w:t>
      </w:r>
    </w:p>
    <w:p>
      <w:pPr>
        <w:spacing w:line="360" w:lineRule="auto" w:after="120"/>
        <w:ind w:firstLine="420"/>
      </w:pPr>
      <w:r>
        <w:rPr>
          <w:rFonts w:ascii="宋体" w:hAnsi="宋体" w:eastAsia="宋体"/>
          <w:b w:val="0"/>
          <w:sz w:val="24"/>
        </w:rPr>
        <w:t>美国《联邦贸易委员会法》第5条、Health Breach Notification Rule。若置于我国法语境下，可对应《个人信息保护法》第二十八条、第二十九条、第三十条、第五十五条以及第五十六条关于敏感个人信息处理和个人信息保护影响评估的规定。</w:t>
      </w:r>
    </w:p>
    <w:p>
      <w:pPr>
        <w:spacing w:line="360" w:lineRule="auto" w:after="120"/>
      </w:pPr>
      <w:r>
        <w:rPr>
          <w:rFonts w:ascii="宋体" w:hAnsi="宋体" w:eastAsia="宋体"/>
          <w:b/>
          <w:sz w:val="24"/>
        </w:rPr>
        <w:t>4、法院判决/处理结果</w:t>
      </w:r>
    </w:p>
    <w:p>
      <w:pPr>
        <w:spacing w:line="360" w:lineRule="auto" w:after="120"/>
        <w:ind w:firstLine="420"/>
      </w:pPr>
      <w:r>
        <w:rPr>
          <w:rFonts w:ascii="宋体" w:hAnsi="宋体" w:eastAsia="宋体"/>
          <w:b w:val="0"/>
          <w:sz w:val="24"/>
        </w:rPr>
        <w:t>本案为FTC监管执法与拟议法院命令。GoodRx同意支付150万美元民事罚款，并被禁止为广告目的向相关第三方披露用户健康信息；同时须取得用户明确同意后才能为其他目的共享健康信息，并要求第三方删除已共享的消费者健康数据。</w:t>
      </w:r>
    </w:p>
    <w:p>
      <w:pPr>
        <w:spacing w:line="360" w:lineRule="auto" w:after="120"/>
      </w:pPr>
      <w:r>
        <w:rPr>
          <w:rFonts w:ascii="宋体" w:hAnsi="宋体" w:eastAsia="宋体"/>
          <w:b/>
          <w:sz w:val="24"/>
        </w:rPr>
        <w:t>5、法律问题分析</w:t>
      </w:r>
    </w:p>
    <w:p>
      <w:pPr>
        <w:spacing w:line="360" w:lineRule="auto" w:after="120"/>
        <w:ind w:firstLine="420"/>
      </w:pPr>
      <w:r>
        <w:rPr>
          <w:rFonts w:ascii="宋体" w:hAnsi="宋体" w:eastAsia="宋体"/>
          <w:b w:val="0"/>
          <w:sz w:val="24"/>
        </w:rPr>
        <w:t>本案凸显了互联网医疗和健康 App 场景下“广告技术嵌入”的隐蔽风险。用户往往认为其药品、疾病和健康状况只会用于获得优惠、提醒和远程医疗服务，却未必知道这些数据会通过追踪像素或 SDK 传输给广告平台。</w:t>
      </w:r>
    </w:p>
    <w:p>
      <w:pPr>
        <w:spacing w:line="360" w:lineRule="auto" w:after="120"/>
        <w:ind w:firstLine="420"/>
      </w:pPr>
      <w:r>
        <w:rPr>
          <w:rFonts w:ascii="宋体" w:hAnsi="宋体" w:eastAsia="宋体"/>
          <w:b w:val="0"/>
          <w:sz w:val="24"/>
        </w:rPr>
        <w:t>医疗健康平台应将第三方 SDK、像素代码、广告转化跟踪和数据分析工具纳入个人信息处理清单。对于健康数据，不应通过笼统隐私政策取得概括授权，更不能将处方和疾病信息用于定向广告。</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美国 GoodRx 被 FTC 指控将消费者药品、疾病、处方和健康相关数据通过追踪工具共享给 Facebook、Google 等广告平台，用于定向广告和营销分析，与其隐私承诺不一致。</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美国《联邦贸易委员会法》第5条、Health Breach Notification Rule；对应我国《个人信息保护法》第13条、第17条、第23条、第28条、第29条、第51条。</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健康数据与广告平台共享具有高风险，即使通过 Cookie、像素或 SDK 技术实现，也应被视为个人信息提供或共同处理，不能用笼统隐私政策替代单独授权。</w:t>
      </w:r>
    </w:p>
    <w:p>
      <w:pPr>
        <w:spacing w:before="480"/>
        <w:jc w:val="center"/>
      </w:pPr>
      <w:r>
        <w:rPr>
          <w:rFonts w:ascii="宋体" w:hAnsi="宋体" w:eastAsia="宋体"/>
          <w:b w:val="0"/>
          <w:color w:val="999999"/>
          <w:sz w:val="20"/>
        </w:rPr>
        <w:t>场景3 · 案例3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