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1. 非法查询征信信息牟利案（韩世杰、旷源鸿、韩文华等案）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所属场景：金融征信与金融数据安全场景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资料来源：最高人民法院：侵犯公民个人信息犯罪典型案例；原文链接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1、案例事实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2015年9月，韩世杰、旷源鸿、韩文华等人利用多名银行工作人员或相关人员提供的征信查询ID、密码和银行专用网络，在银行附近非法查询公民个人银行征信信息。最高人民法院公布的典型案例显示，相关人员多次非法查询公民个人银行征信信息，数量合计数万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部分银行内部人员或相关人员提供征信查询账号、密码或专用网络条件，韩世杰等人将查询获得的征信信息出售给他人并支付相关费用。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2、争议焦点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银行工作人员或外部人员能否利用征信查询权限、账号密码和银行专用网络，为非授权目的查询并出售个人征信信息。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3、涉及法律条文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《刑法》第二百五十三条之一；《征信业管理条例》关于征信信息查询、使用和保密的规定；《个人信息保护法》第十三条、第二十八条、第五十一条；《网络安全法》第四十一条、第四十二条。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4、法院判决/处理结果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湖北省巴东县人民法院认定，韩世杰、旷源鸿、韩文华等人违反国家有关规定，非法获取公民个人信息出售牟利，情节严重，构成侵犯公民个人信息罪。法院综合自首、坦白、退赃等情节，对韩世杰等人判处有期徒刑、拘役和罚金，判决已发生法律效力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5、法律问题分析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征信信息是金融场景中最典型的敏感个人信息之一，直接关系到个人贷款、就业、租房、消费金融等机会。该案说明，金融机构不仅要防外部黑客，也要防“内部权限出租”和账号外借。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金融机构应落实查询事由留痕、双人复核、异常查询告警、账号密码个人专用、离岗权限回收和定期审计。对高敏感金融数据，仅有系统账号和密码远远不够，还应结合行为分析和责任追溯机制。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相关人员利用征信查询便利或关系链非法查询、获取、出售他人征信信息，牟取利益，信息内容涉及个人信用、贷款、身份识别等高敏感金融数据。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《刑法》第253条之一；《个人信息保护法》第5条、第6条、第10条、第28条、第29条、第51条；《征信业管理条例》。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征信信息可直接影响贷款、就业、交易机会和社会评价，属于高风险个人信息。金融机构应建立查询授权、用途留痕、异常查询告警和违规查询追责机制。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场景4 · 案例1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