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2. Equifax 征信机构大规模数据泄露和解案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所属场景：金融征信与金融数据安全场景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资料来源：美国联邦贸易委员会（FTC）：Equifax Data Breach Settlement；原文链接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2017年9月，美国大型征信机构 Equifax 宣布发生数据泄露，影响约1.47亿人。泄露信息涉及姓名、社会安全号码、出生日期、地址等高度敏感身份和信用相关信息。FTC披露，Equifax与FTC、美国消费者金融保护局以及50个州和地区达成全球和解。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和解安排包括最高4.25亿美元用于帮助受影响消费者，提供身份恢复、信用监测和相关赔付等措施。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征信机构集中持有大规模、高敏感个人金融和身份数据时，是否已采取与数据敏感性和风险相匹配的漏洞管理、访问控制、补丁更新和应急处置措施。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《联邦贸易委员会法》《公平信用报告法》等相关规则。若置于我国法语境下，可对应《个人信息保护法》第五十一条、第五十五条、第五十七条，《数据安全法》第二十七条、第二十九条，以及金融行业个人信息保护相关标准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本案以监管和解形式处理。Equifax与FTC、CFPB及各州监管方达成全球和解，设立消费者补偿和身份恢复安排，并承担后续整改义务。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征信机构天然具有数据集中性和不可替代性。个人通常并非主动选择向征信机构提供全部信息，却会受到征信结果的长期影响。因此，征信机构的数据安全义务应高于一般商业平台。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案对我国金融机构的启示在于，个人金融信息保护不只是授权同意问题，更是持续安全治理问题。金融机构应建立漏洞管理、补丁更新、数据加密、分区隔离、应急响应和第三方安全评估机制，避免单点漏洞导致全国性、长期性风险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美国征信机构 Equifax 因系统漏洞和安全管理不足发生大规模数据泄露，影响大量消费者身份和信用信息，后与监管机构达成和解并承担赔偿、整改义务。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美国《公平信用报告法》等消费者保护规则；对应我国《个人信息保护法》第51条、第55条、第56条，《网络安全法》第21条，《数据安全法》第27条、第29条。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征信机构掌握集中、不可替代且高价值的数据资产，安全漏洞可能造成长期身份冒用风险。漏洞修复、补丁管理、加密、分级授权和事件通知是底线义务。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场景4 · 案例2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