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6"/>
        </w:rPr>
        <w:t>3. Capital One 云迁移风险控制不足导致数据泄露处罚案</w:t>
      </w:r>
    </w:p>
    <w:p>
      <w:pPr>
        <w:spacing w:after="240"/>
        <w:jc w:val="center"/>
      </w:pPr>
      <w:r>
        <w:rPr>
          <w:rFonts w:ascii="楷体" w:hAnsi="楷体" w:eastAsia="楷体"/>
          <w:b w:val="0"/>
          <w:color w:val="666666"/>
          <w:sz w:val="24"/>
        </w:rPr>
        <w:t>所属场景：金融征信与金融数据安全场景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CCCCCC"/>
          <w:sz w:val="2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一、详细案情（原始材料）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资料来源：美国货币监理署（OCC）：OCC Assesses $80 Million Civil Money Penalty Against Capital One；原文链接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1、案例事实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2019年，Capital One 发生大规模数据泄露事件。2020年8月，美国货币监理署对 Capital One, N.A. 和 Capital One Bank (USA), N.A. 处以8000万美元民事罚款。OCC认为，该行在将重要信息技术运营迁移至公有云前，未建立有效风险评估流程，也未及时纠正相关缺陷。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OCC指出，负责任的创新需要以稳健的风险管理和内部控制为前提，银行运营必须保持安全稳健并充分保护客户。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2、争议焦点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金融机构将核心信息技术和客户数据迁移至公有云环境时，是否应在迁移前完成充分的风险评估、控制设计和持续整改；云服务使用不当导致数据泄露时，金融机构能否以云服务商责任进行抗辩。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3、涉及法律条文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美国12 C.F.R. Part 30 Appendix B《信息安全标准跨机构指南》等金融监管规则。若置于我国法语境下，可对应《网络安全法》第二十一条、第四十二条，《数据安全法》第二十七条，《个人信息保护法》第五十一条，以及金融机构信息科技外包和数据安全相关监管规则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4、法院判决/处理结果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本案为金融监管处罚。OCC对 Capital One 处以8000万美元民事罚款，并采取停止和纠正命令等监管措施。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5、法律问题分析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该案说明金融数据保护已经进入“云治理”阶段。金融机构可以使用云服务和新技术，但不能将风险评估、配置审计、访问控制和应急责任外包给云服务商。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对金融机构而言，云迁移前应明确数据分类分级、访问控制模型、密钥管理、日志审计、第三方责任边界和应急预案。尤其是客户账户、借贷、征信和支付数据，应适用高敏感等级的安全架构。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二、具体案情提炼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Capital One 在云环境配置和访问控制方面存在不足，导致大量信用卡申请人、客户数据被非法访问，后受到监管处罚并进行安全整改。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三、涉案法条/规范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美国金融监管与消费者保护规则；对应我国《个人信息保护法》第51条、第55条，《数据安全法》第27条、第29条，《网络安全法》第21条。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四、案例分析与合规启示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金融机构上云不能削弱安全义务。应开展云配置审计、最小权限、密钥轮换、入侵检测、第三方风险评估和云端日志留存。</w:t>
      </w:r>
    </w:p>
    <w:p>
      <w:pPr>
        <w:spacing w:before="480"/>
        <w:jc w:val="center"/>
      </w:pPr>
      <w:r>
        <w:rPr>
          <w:rFonts w:ascii="宋体" w:hAnsi="宋体" w:eastAsia="宋体"/>
          <w:b w:val="0"/>
          <w:color w:val="999999"/>
          <w:sz w:val="20"/>
        </w:rPr>
        <w:t>场景4 · 案例3 · 个人信息数据特殊适用场景案例拆分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