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黑体" w:hAnsi="黑体" w:eastAsia="黑体"/>
          <w:b/>
          <w:sz w:val="36"/>
        </w:rPr>
        <w:t>1. 儿童短视频平台默认开启个性化推荐案</w:t>
      </w:r>
    </w:p>
    <w:p>
      <w:pPr>
        <w:spacing w:after="240"/>
        <w:jc w:val="center"/>
      </w:pPr>
      <w:r>
        <w:rPr>
          <w:rFonts w:ascii="楷体" w:hAnsi="楷体" w:eastAsia="楷体"/>
          <w:b w:val="0"/>
          <w:color w:val="666666"/>
          <w:sz w:val="24"/>
        </w:rPr>
        <w:t>所属场景：儿童与未成年人个人信息保护场景</w:t>
      </w:r>
    </w:p>
    <w:p>
      <w:pPr>
        <w:spacing w:after="200"/>
        <w:jc w:val="center"/>
      </w:pPr>
      <w:r>
        <w:rPr>
          <w:rFonts w:ascii="宋体" w:hAnsi="宋体" w:eastAsia="宋体"/>
          <w:b w:val="0"/>
          <w:color w:val="CCCCCC"/>
          <w:sz w:val="20"/>
        </w:rPr>
        <w:t>——————————————————————————————</w:t>
      </w:r>
    </w:p>
    <w:p>
      <w:pPr>
        <w:spacing w:before="280" w:after="120"/>
      </w:pPr>
      <w:r>
        <w:rPr>
          <w:rFonts w:ascii="黑体" w:hAnsi="黑体" w:eastAsia="黑体"/>
          <w:b/>
          <w:color w:val="1F3A5F"/>
          <w:sz w:val="28"/>
        </w:rPr>
        <w:t>一、详细案情（原始材料）</w:t>
      </w:r>
    </w:p>
    <w:p>
      <w:pPr>
        <w:spacing w:line="360" w:lineRule="auto" w:after="120"/>
      </w:pPr>
      <w:r>
        <w:rPr>
          <w:rFonts w:ascii="宋体" w:hAnsi="宋体" w:eastAsia="宋体"/>
          <w:b/>
          <w:sz w:val="24"/>
        </w:rPr>
        <w:t>案例事实</w:t>
      </w:r>
    </w:p>
    <w:p>
      <w:pPr>
        <w:spacing w:line="360" w:lineRule="auto" w:after="120"/>
        <w:ind w:firstLine="420"/>
      </w:pPr>
      <w:r>
        <w:rPr>
          <w:rFonts w:ascii="宋体" w:hAnsi="宋体" w:eastAsia="宋体"/>
          <w:b w:val="0"/>
          <w:sz w:val="24"/>
        </w:rPr>
        <w:t>某科技公司运营的某短视频App存在侵害众多不特定儿童个人信息的侵权行为，具体包括：1.未以显著、清晰的方式告知并征得儿童监护人有效明示同意的情况下，允许注册儿童账户，并收集、存储儿童网络账号、位置、联系方式，以及儿童面部识别特征、声音识别特征等个人敏感信息；2.在未再次征得儿童监护人有效明示同意的情况下，运用后台算法，向具有浏览儿童内容视频喜好的用户直接推送含有儿童个人信息的短视频；3.某短视频App未对儿童用户采取区分管理措施，默认用户点击“关注”后即可与儿童账户私信联系，并能获取其地理位置、面部特征等个人信息。公益诉讼起诉人认为，某科技公司前述行为侵害了社会公共利益，遂提起民事公益诉讼。在法院调解下，公益诉讼起诉人与被告某科技公司达成调解协议，某科技公司对调解事项已经履行完毕。</w:t>
      </w:r>
    </w:p>
    <w:p>
      <w:pPr>
        <w:spacing w:line="360" w:lineRule="auto" w:after="120"/>
      </w:pPr>
      <w:r>
        <w:rPr>
          <w:rFonts w:ascii="宋体" w:hAnsi="宋体" w:eastAsia="宋体"/>
          <w:b/>
          <w:sz w:val="24"/>
        </w:rPr>
        <w:t>争议焦点</w:t>
      </w:r>
    </w:p>
    <w:p>
      <w:pPr>
        <w:spacing w:line="360" w:lineRule="auto" w:after="120"/>
        <w:ind w:firstLine="420"/>
      </w:pPr>
      <w:r>
        <w:rPr>
          <w:rFonts w:ascii="宋体" w:hAnsi="宋体" w:eastAsia="宋体"/>
          <w:b w:val="0"/>
          <w:sz w:val="24"/>
        </w:rPr>
        <w:t>儿童个人信息能否用于画像和个性化推荐；默认开启个性化推荐是否符合监护人同意规则；含有儿童个人信息的内容能否通过算法向不特定用户分发。</w:t>
      </w:r>
    </w:p>
    <w:p>
      <w:pPr>
        <w:spacing w:line="360" w:lineRule="auto" w:after="120"/>
      </w:pPr>
      <w:r>
        <w:rPr>
          <w:rFonts w:ascii="宋体" w:hAnsi="宋体" w:eastAsia="宋体"/>
          <w:b/>
          <w:sz w:val="24"/>
        </w:rPr>
        <w:t>涉及法律条文</w:t>
      </w:r>
    </w:p>
    <w:p>
      <w:pPr>
        <w:spacing w:line="360" w:lineRule="auto" w:after="120"/>
        <w:ind w:firstLine="420"/>
      </w:pPr>
      <w:r>
        <w:rPr>
          <w:rFonts w:ascii="宋体" w:hAnsi="宋体" w:eastAsia="宋体"/>
          <w:b w:val="0"/>
          <w:sz w:val="24"/>
        </w:rPr>
        <w:t>《个人信息保护法》第十五条、第十七条、第二十四条、第二十八条、第三十一条；《未成年人网络保护条例》关于未成年人个人信息保护的规定；《儿童个人信息网络保护规定》第八条、第九条、第十条；《互联网信息服务算法推荐管理规定》。</w:t>
      </w:r>
    </w:p>
    <w:p>
      <w:pPr>
        <w:spacing w:line="360" w:lineRule="auto" w:after="120"/>
      </w:pPr>
      <w:r>
        <w:rPr>
          <w:rFonts w:ascii="宋体" w:hAnsi="宋体" w:eastAsia="宋体"/>
          <w:b/>
          <w:sz w:val="24"/>
        </w:rPr>
        <w:t>法院判决/处理结果</w:t>
      </w:r>
    </w:p>
    <w:p>
      <w:pPr>
        <w:spacing w:line="360" w:lineRule="auto" w:after="120"/>
        <w:ind w:firstLine="420"/>
      </w:pPr>
      <w:r>
        <w:rPr>
          <w:rFonts w:ascii="宋体" w:hAnsi="宋体" w:eastAsia="宋体"/>
          <w:b w:val="0"/>
          <w:sz w:val="24"/>
        </w:rPr>
        <w:t>杭州互联网法院发布的个人信息保护典型案例裁判要旨指出，儿童个人信息属于敏感个人信息；信息处理者未获监护人同意默认开启个性化推荐，运用算法进行内容推送，应认定为违法处理儿童个人信息；未建立儿童个人信息专门保护机制、未加密存储的，也构成违规。</w:t>
      </w:r>
    </w:p>
    <w:p>
      <w:pPr>
        <w:spacing w:line="360" w:lineRule="auto" w:after="120"/>
        <w:ind w:firstLine="420"/>
      </w:pPr>
      <w:r>
        <w:rPr>
          <w:rFonts w:ascii="宋体" w:hAnsi="宋体" w:eastAsia="宋体"/>
          <w:b w:val="0"/>
          <w:sz w:val="24"/>
        </w:rPr>
        <w:t>面向儿童用户提供网络服务的互联网平台（信息处理者）在缺乏单独《儿童个人信息/隐私保护政策》和《儿童个人用户协议》，未采取合理措施通知监护人并征得监护人有效明示同意的情况下，处理儿童用户地理定位、联系方式、面部、肢体、声音等个人信息的，应认定为违法处理用户个人信息。</w:t>
      </w:r>
    </w:p>
    <w:p>
      <w:pPr>
        <w:spacing w:line="360" w:lineRule="auto" w:after="120"/>
        <w:ind w:firstLine="420"/>
      </w:pPr>
      <w:r>
        <w:rPr>
          <w:rFonts w:ascii="宋体" w:hAnsi="宋体" w:eastAsia="宋体"/>
          <w:b w:val="0"/>
          <w:sz w:val="24"/>
        </w:rPr>
        <w:t>儿童个人信息属敏感个人信息，信息处理者未对儿童个人信息建立专门保护池，采取加密存储措施，应认定为违规存储儿童个人信息。</w:t>
      </w:r>
    </w:p>
    <w:p>
      <w:pPr>
        <w:spacing w:line="360" w:lineRule="auto" w:after="120"/>
        <w:ind w:firstLine="420"/>
      </w:pPr>
      <w:r>
        <w:rPr>
          <w:rFonts w:ascii="宋体" w:hAnsi="宋体" w:eastAsia="宋体"/>
          <w:b w:val="0"/>
          <w:sz w:val="24"/>
        </w:rPr>
        <w:t>信息处理者在未获得儿童监护人单独授权同意的情况下，基于算法的自动化决策将含有儿童用户个人信息的短视频向其他用户进行推送，应认定为违法处理儿童个人信息。</w:t>
      </w:r>
    </w:p>
    <w:p>
      <w:pPr>
        <w:spacing w:line="360" w:lineRule="auto" w:after="120"/>
        <w:ind w:firstLine="420"/>
      </w:pPr>
      <w:r>
        <w:rPr>
          <w:rFonts w:ascii="宋体" w:hAnsi="宋体" w:eastAsia="宋体"/>
          <w:b w:val="0"/>
          <w:sz w:val="24"/>
        </w:rPr>
        <w:t>信息处理者对儿童用户进行画像，未获监护人同意默认开启个性化推荐，运用算法进行内容推送，应认定为违法处理儿童个人信息。</w:t>
      </w:r>
    </w:p>
    <w:p>
      <w:pPr>
        <w:spacing w:line="360" w:lineRule="auto" w:after="120"/>
        <w:ind w:firstLine="420"/>
      </w:pPr>
      <w:r>
        <w:rPr>
          <w:rFonts w:ascii="宋体" w:hAnsi="宋体" w:eastAsia="宋体"/>
          <w:b w:val="0"/>
          <w:sz w:val="24"/>
        </w:rPr>
        <w:t>信息处理者在征得监护人同意前，对儿童用户未强制开启陌生人关注限制功能、未强制隐藏儿童用户位置、未强制开启儿童用户私信限制、未强制关闭儿童用户通讯录推荐、未强制关闭通过手机号搜索儿童用户功能、未强制关闭儿童“熟人圈”功能、未强制关闭儿童动态展示功能、未强制关闭推荐儿童给可能感兴趣的人、未强制开启儿童作品在同城不显示等功能，应认定为未履行对儿童用户的隐私安全保护义务。</w:t>
      </w:r>
    </w:p>
    <w:p>
      <w:pPr>
        <w:spacing w:line="360" w:lineRule="auto" w:after="120"/>
        <w:ind w:firstLine="420"/>
      </w:pPr>
      <w:r>
        <w:rPr>
          <w:rFonts w:ascii="宋体" w:hAnsi="宋体" w:eastAsia="宋体"/>
          <w:b w:val="0"/>
          <w:sz w:val="24"/>
        </w:rPr>
        <w:t>信息处理者侵害平台内不特定儿童用户个人信息权益，应认定为侵害社会不特定未成年人群体的社会公共利益。</w:t>
      </w:r>
    </w:p>
    <w:p>
      <w:pPr>
        <w:spacing w:line="360" w:lineRule="auto" w:after="120"/>
      </w:pPr>
      <w:r>
        <w:rPr>
          <w:rFonts w:ascii="宋体" w:hAnsi="宋体" w:eastAsia="宋体"/>
          <w:b/>
          <w:sz w:val="24"/>
        </w:rPr>
        <w:t>法律问题分析</w:t>
      </w:r>
    </w:p>
    <w:p>
      <w:pPr>
        <w:spacing w:line="360" w:lineRule="auto" w:after="120"/>
        <w:ind w:firstLine="420"/>
      </w:pPr>
      <w:r>
        <w:rPr>
          <w:rFonts w:ascii="宋体" w:hAnsi="宋体" w:eastAsia="宋体"/>
          <w:b w:val="0"/>
          <w:sz w:val="24"/>
        </w:rPr>
        <w:t>该案例可用于强调数字营销场景中的特殊主体保护。儿童用户的点击、观看、停留、声音、面部等数据具有高度敏感性，不能简单纳入普通商业推荐模型。平台需要设置儿童模式、监护人授权、默认关闭个性化推荐、内容可见范围控制、儿童数据专门保护池和加密存储机制。</w:t>
      </w:r>
    </w:p>
    <w:p>
      <w:pPr>
        <w:spacing w:before="280" w:after="120"/>
      </w:pPr>
      <w:r>
        <w:rPr>
          <w:rFonts w:ascii="黑体" w:hAnsi="黑体" w:eastAsia="黑体"/>
          <w:b/>
          <w:color w:val="1F3A5F"/>
          <w:sz w:val="28"/>
        </w:rPr>
        <w:t>二、具体案情提炼</w:t>
      </w:r>
    </w:p>
    <w:p>
      <w:pPr>
        <w:spacing w:line="360" w:lineRule="auto" w:after="120"/>
        <w:ind w:firstLine="420"/>
      </w:pPr>
      <w:r>
        <w:rPr>
          <w:rFonts w:ascii="宋体" w:hAnsi="宋体" w:eastAsia="宋体"/>
          <w:b w:val="0"/>
          <w:sz w:val="24"/>
        </w:rPr>
        <w:t>全国首例儿童个人信息、网络安全保护民事公益诉讼中，短视频平台针对儿童用户默认开启个性化推荐或算法推送，涉及儿童观看记录、兴趣标签、互动行为等数据处理。</w:t>
      </w:r>
    </w:p>
    <w:p>
      <w:pPr>
        <w:spacing w:before="280" w:after="120"/>
      </w:pPr>
      <w:r>
        <w:rPr>
          <w:rFonts w:ascii="黑体" w:hAnsi="黑体" w:eastAsia="黑体"/>
          <w:b/>
          <w:color w:val="1F3A5F"/>
          <w:sz w:val="28"/>
        </w:rPr>
        <w:t>三、涉案法条/规范</w:t>
      </w:r>
    </w:p>
    <w:p>
      <w:pPr>
        <w:spacing w:line="360" w:lineRule="auto" w:after="120"/>
        <w:ind w:firstLine="420"/>
      </w:pPr>
      <w:r>
        <w:rPr>
          <w:rFonts w:ascii="宋体" w:hAnsi="宋体" w:eastAsia="宋体"/>
          <w:b w:val="0"/>
          <w:sz w:val="24"/>
        </w:rPr>
        <w:t>《个人信息保护法》第24条、第28条、第31条；《未成年人保护法》第72条、第77条；《儿童个人信息网络保护规定》；《互联网信息服务算法推荐管理规定》。</w:t>
      </w:r>
    </w:p>
    <w:p>
      <w:pPr>
        <w:spacing w:before="280" w:after="120"/>
      </w:pPr>
      <w:r>
        <w:rPr>
          <w:rFonts w:ascii="黑体" w:hAnsi="黑体" w:eastAsia="黑体"/>
          <w:b/>
          <w:color w:val="1F3A5F"/>
          <w:sz w:val="28"/>
        </w:rPr>
        <w:t>四、案例分析与合规启示</w:t>
      </w:r>
    </w:p>
    <w:p>
      <w:pPr>
        <w:spacing w:line="360" w:lineRule="auto" w:after="120"/>
        <w:ind w:firstLine="420"/>
      </w:pPr>
      <w:r>
        <w:rPr>
          <w:rFonts w:ascii="宋体" w:hAnsi="宋体" w:eastAsia="宋体"/>
          <w:b w:val="0"/>
          <w:sz w:val="24"/>
        </w:rPr>
        <w:t>儿童个人信息保护不仅包括实名信息，也包括观看记录、兴趣标签、持久标识符和推荐画像。平台应默认更高保护标准，提供关闭推荐和监护人管理机制。</w:t>
      </w:r>
    </w:p>
    <w:p>
      <w:pPr>
        <w:spacing w:before="480"/>
        <w:jc w:val="center"/>
      </w:pPr>
      <w:r>
        <w:rPr>
          <w:rFonts w:ascii="宋体" w:hAnsi="宋体" w:eastAsia="宋体"/>
          <w:b w:val="0"/>
          <w:color w:val="999999"/>
          <w:sz w:val="20"/>
        </w:rPr>
        <w:t>场景5 · 案例1 · 个人信息数据特殊适用场景案例拆分</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