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黑体" w:hAnsi="黑体" w:eastAsia="黑体"/>
          <w:b/>
          <w:sz w:val="36"/>
        </w:rPr>
        <w:t>2. 电商平台与支付关联产品违规共享用户信息案</w:t>
      </w:r>
    </w:p>
    <w:p>
      <w:pPr>
        <w:spacing w:after="240"/>
        <w:jc w:val="center"/>
      </w:pPr>
      <w:r>
        <w:rPr>
          <w:rFonts w:ascii="楷体" w:hAnsi="楷体" w:eastAsia="楷体"/>
          <w:b w:val="0"/>
          <w:color w:val="666666"/>
          <w:sz w:val="24"/>
        </w:rPr>
        <w:t>所属场景：AI时代一体化数字营销、画像与广告推荐场景</w:t>
      </w:r>
    </w:p>
    <w:p>
      <w:pPr>
        <w:spacing w:after="200"/>
        <w:jc w:val="center"/>
      </w:pPr>
      <w:r>
        <w:rPr>
          <w:rFonts w:ascii="宋体" w:hAnsi="宋体" w:eastAsia="宋体"/>
          <w:b w:val="0"/>
          <w:color w:val="CCCCCC"/>
          <w:sz w:val="20"/>
        </w:rPr>
        <w:t>——————————————————————————————</w:t>
      </w:r>
    </w:p>
    <w:p>
      <w:pPr>
        <w:spacing w:before="280" w:after="120"/>
      </w:pPr>
      <w:r>
        <w:rPr>
          <w:rFonts w:ascii="黑体" w:hAnsi="黑体" w:eastAsia="黑体"/>
          <w:b/>
          <w:color w:val="1F3A5F"/>
          <w:sz w:val="28"/>
        </w:rPr>
        <w:t>一、详细案情（原始材料）</w:t>
      </w:r>
    </w:p>
    <w:p>
      <w:pPr>
        <w:spacing w:line="360" w:lineRule="auto" w:after="120"/>
      </w:pPr>
      <w:r>
        <w:rPr>
          <w:rFonts w:ascii="宋体" w:hAnsi="宋体" w:eastAsia="宋体"/>
          <w:b/>
          <w:sz w:val="24"/>
        </w:rPr>
        <w:t>案例事实：</w:t>
      </w:r>
    </w:p>
    <w:p>
      <w:pPr>
        <w:spacing w:line="360" w:lineRule="auto" w:after="120"/>
        <w:ind w:firstLine="420"/>
      </w:pPr>
      <w:r>
        <w:rPr>
          <w:rFonts w:ascii="宋体" w:hAnsi="宋体" w:eastAsia="宋体"/>
          <w:b w:val="0"/>
          <w:sz w:val="24"/>
        </w:rPr>
        <w:t>原告吴某诉称，其下载某电商购物App并使用个人手机号注册了账号。登录App后，原告发现某电商购物App“个人中心”栏项下有“某钱包”选项，遂按照App界面要求，在输入原告本人真实姓名及身份号码后开通了“某钱包”。在使用“某钱包”提供的“免输卡号添加银行卡”功能时，原告原本打算选择自己有卡的银行进行关联，但误触了列表中的某银行，得到了“暂无银行卡可以绑定”的反馈。原告认为，其并未授权某电商购物平台经营方告知某银行自己真实姓名及身份号码，某银行能够得知原告本人并无银行卡在该行开具，系案涉App泄露原告的敏感个人信息所致，而某银行亦因此非法获得了原告的敏感个人信息。其后，原告在某电商购物App内查阅了相关用户协议内容后还进一步发现， App的运营主体上海某公司与“某钱包”经营主体某付费通公司的运营主体并不一致，而在原告并未明确知情同意的情况下，其真实身份信息还由上海某公司传输给了某付费通公司，并极可能又由某付费通公司传输给了某银行。原告自觉权利受损，遂决定注销“某钱包”，但竟然无法注销。故向法院提起诉讼。</w:t>
      </w:r>
    </w:p>
    <w:p>
      <w:pPr>
        <w:spacing w:line="360" w:lineRule="auto" w:after="120"/>
        <w:ind w:firstLine="420"/>
      </w:pPr>
      <w:r>
        <w:rPr>
          <w:rFonts w:ascii="宋体" w:hAnsi="宋体" w:eastAsia="宋体"/>
          <w:b w:val="0"/>
          <w:sz w:val="24"/>
        </w:rPr>
        <w:t>经查，案涉电商购物平台（APP）系由被告上海某公司运营的电商平台。某电商购物APP在应用程序个人用户界面上线了名为“某钱包”的支付服务应用功能，用户可通过“某钱包”的支付功能在平台内购物交易时进行充值、支付及提现等应用。“某钱包”的实际运营主体为某付费通公司。被告某付费通公司为实现用户“某钱包”账户绑定银行卡并具备银行卡快捷支付功能，与包括某银行公司在内的多家银行机构开展有银行卡快捷支付合作。原告吴某某使用案涉账号首次进入某电商购物APP“某钱包”界面填入的个人姓名、公民身份号码等信息，先由上海某公司收集、存储，在原告不知情的情况下，再由上海某公司提供给某付费通公司。当原告进入“某钱包”添加银行卡界面选择免输卡号进行银行卡绑定操作时，某付费通公司则会将其姓名、公民身份号码信息提供给选定绑卡的银行，银行获取前述信息后根据提供的信息验证该信息主体是否为该银行的持卡人，若为该行持卡人则留存该信息并进入后一步绑卡操作流程；若非为该行持卡人亦留存该信息并向某付费通公司反馈结果。</w:t>
      </w:r>
    </w:p>
    <w:p>
      <w:pPr>
        <w:spacing w:line="360" w:lineRule="auto" w:after="120"/>
      </w:pPr>
      <w:r>
        <w:rPr>
          <w:rFonts w:ascii="宋体" w:hAnsi="宋体" w:eastAsia="宋体"/>
          <w:b/>
          <w:sz w:val="24"/>
        </w:rPr>
        <w:t>争议焦点</w:t>
      </w:r>
    </w:p>
    <w:p>
      <w:pPr>
        <w:spacing w:line="360" w:lineRule="auto" w:after="120"/>
        <w:ind w:firstLine="420"/>
      </w:pPr>
      <w:r>
        <w:rPr>
          <w:rFonts w:ascii="宋体" w:hAnsi="宋体" w:eastAsia="宋体"/>
          <w:b w:val="0"/>
          <w:sz w:val="24"/>
        </w:rPr>
        <w:t>关联产品之间的数据共享是否可以基于“同一生态”当然进行；电商交易数据、支付数据和营销数据能否在未单独告知的情况下合并用于画像、推荐或商业运营。</w:t>
      </w:r>
    </w:p>
    <w:p>
      <w:pPr>
        <w:spacing w:line="360" w:lineRule="auto" w:after="120"/>
      </w:pPr>
      <w:r>
        <w:rPr>
          <w:rFonts w:ascii="宋体" w:hAnsi="宋体" w:eastAsia="宋体"/>
          <w:b/>
          <w:sz w:val="24"/>
        </w:rPr>
        <w:t>涉及法律条文</w:t>
      </w:r>
    </w:p>
    <w:p>
      <w:pPr>
        <w:spacing w:line="360" w:lineRule="auto" w:after="120"/>
        <w:ind w:firstLine="420"/>
      </w:pPr>
      <w:r>
        <w:rPr>
          <w:rFonts w:ascii="宋体" w:hAnsi="宋体" w:eastAsia="宋体"/>
          <w:b w:val="0"/>
          <w:sz w:val="24"/>
        </w:rPr>
        <w:t>《个人信息保护法》第十三条、第十七条、第二十三条、第二十四条、第四十四条至第四十七条；《电子商务法》第十八条；《消费者权益保护法》第二十九条。</w:t>
      </w:r>
    </w:p>
    <w:p>
      <w:pPr>
        <w:spacing w:line="360" w:lineRule="auto" w:after="120"/>
      </w:pPr>
      <w:r>
        <w:rPr>
          <w:rFonts w:ascii="宋体" w:hAnsi="宋体" w:eastAsia="宋体"/>
          <w:b/>
          <w:sz w:val="24"/>
        </w:rPr>
        <w:t>法院判决/处理结果</w:t>
      </w:r>
    </w:p>
    <w:p>
      <w:pPr>
        <w:spacing w:line="360" w:lineRule="auto" w:after="120"/>
        <w:ind w:firstLine="420"/>
      </w:pPr>
      <w:r>
        <w:rPr>
          <w:rFonts w:ascii="宋体" w:hAnsi="宋体" w:eastAsia="宋体"/>
          <w:b w:val="0"/>
          <w:sz w:val="24"/>
        </w:rPr>
        <w:t>杭州互联网法院判决认为，某电商购物平台向某付费通公司提供其收集的吴某某个人信息的行为属于未明示信息处理的目的、方式、范围的行为，吴某某系在未充分知情的情况下实施对其个人信息披露的同意。某电商购物平台的上述行为既违反了其与吴某某之间的合同约定，也不符合个人信息处理活动应遵循的知情同意规则。某付费通公司收集吴某某个人信息时，某电商平台APP未以任何形式告知吴某某，某付费通公司将获取其案涉个人信息，更未以任何形式获得过吴某某的同意，亦不存在通过订立、履行合同必需规则或履行法定义务规则等获得处理吴某某个人信息的合法性基础。综上，某电商购物平台经营者、某付费通公司对吴某某个人信息的处理行为缺乏合法性基础，法院认定二者的信息处理行为侵害了吴某某的个人信息权益。</w:t>
      </w:r>
    </w:p>
    <w:p>
      <w:pPr>
        <w:spacing w:line="360" w:lineRule="auto" w:after="120"/>
        <w:ind w:firstLine="420"/>
      </w:pPr>
      <w:r>
        <w:rPr>
          <w:rFonts w:ascii="宋体" w:hAnsi="宋体" w:eastAsia="宋体"/>
          <w:b w:val="0"/>
          <w:sz w:val="24"/>
        </w:rPr>
        <w:t>某电商购物平台经营者、某付费通公司违法处理吴某某的个人敏感信息。吴某某在未被充分告知的情况下披露了个人敏感信息，其因个人敏感信息被违法处理产生对个人信息风险的担忧，对个人生命健康、人格尊严或经济利益可能遭受严重损害或极易遭受损害产生恐惧、焦虑等情绪，可以认定为遭受到精神利益的害。且某电商购物平台经营者、某付费通公司作为行业内具有较大影响力的公司，更应严格依照法律法规处理用户个人信息，对于平台中违法处理个人信息的设置应予以及时发现、改进，并对相关的个人信息处理活动采取更加审慎、周密的方式，本案中某电商购物平台经营者、某付费通公司显未尽到前述注意义务，存在明显的过错。考虑到某电商购物平台经营者、某付费通公司对吴某某个人信息的处理行为存在意思联络，故判令两被告向吴某某进行书面道歉并赔偿相应合理维权支出。</w:t>
      </w:r>
    </w:p>
    <w:p>
      <w:pPr>
        <w:spacing w:line="360" w:lineRule="auto" w:after="120"/>
      </w:pPr>
      <w:r>
        <w:rPr>
          <w:rFonts w:ascii="宋体" w:hAnsi="宋体" w:eastAsia="宋体"/>
          <w:b/>
          <w:sz w:val="24"/>
        </w:rPr>
        <w:t>法律问题分析</w:t>
      </w:r>
    </w:p>
    <w:p>
      <w:pPr>
        <w:spacing w:line="360" w:lineRule="auto" w:after="120"/>
        <w:ind w:firstLine="420"/>
      </w:pPr>
      <w:r>
        <w:rPr>
          <w:rFonts w:ascii="宋体" w:hAnsi="宋体" w:eastAsia="宋体"/>
          <w:b w:val="0"/>
          <w:sz w:val="24"/>
        </w:rPr>
        <w:t>一体化数字营销强调“数据全链路”和“经营闭环”，但法律上不能把生态闭环直接等同于授权闭环。交易履约、支付结算、售后服务、广告推荐、用户增长属于不同处理目的。即便数据能够提升转化率，也应通过分场景告知、分级授权、去标识化、权限隔离和可退出机制降低对用户权益的影响。</w:t>
      </w:r>
    </w:p>
    <w:p>
      <w:pPr>
        <w:spacing w:before="280" w:after="120"/>
      </w:pPr>
      <w:r>
        <w:rPr>
          <w:rFonts w:ascii="黑体" w:hAnsi="黑体" w:eastAsia="黑体"/>
          <w:b/>
          <w:color w:val="1F3A5F"/>
          <w:sz w:val="28"/>
        </w:rPr>
        <w:t>二、具体案情提炼</w:t>
      </w:r>
    </w:p>
    <w:p>
      <w:pPr>
        <w:spacing w:line="360" w:lineRule="auto" w:after="120"/>
        <w:ind w:firstLine="420"/>
      </w:pPr>
      <w:r>
        <w:rPr>
          <w:rFonts w:ascii="宋体" w:hAnsi="宋体" w:eastAsia="宋体"/>
          <w:b w:val="0"/>
          <w:sz w:val="24"/>
        </w:rPr>
        <w:t>材料提到电商平台与支付、关联产品之间共享用户身份、交易、浏览、设备标识、偏好等数据，用于营销、风控、推荐或商业经营，但告知与单独同意不足。</w:t>
      </w:r>
    </w:p>
    <w:p>
      <w:pPr>
        <w:spacing w:before="280" w:after="120"/>
      </w:pPr>
      <w:r>
        <w:rPr>
          <w:rFonts w:ascii="黑体" w:hAnsi="黑体" w:eastAsia="黑体"/>
          <w:b/>
          <w:color w:val="1F3A5F"/>
          <w:sz w:val="28"/>
        </w:rPr>
        <w:t>三、涉案法条/规范</w:t>
      </w:r>
    </w:p>
    <w:p>
      <w:pPr>
        <w:spacing w:line="360" w:lineRule="auto" w:after="120"/>
        <w:ind w:firstLine="420"/>
      </w:pPr>
      <w:r>
        <w:rPr>
          <w:rFonts w:ascii="宋体" w:hAnsi="宋体" w:eastAsia="宋体"/>
          <w:b w:val="0"/>
          <w:sz w:val="24"/>
        </w:rPr>
        <w:t>《个人信息保护法》第13条、第17条、第21条、第23条、第24条、第51条；《电子商务法》第18条。</w:t>
      </w:r>
    </w:p>
    <w:p>
      <w:pPr>
        <w:spacing w:before="280" w:after="120"/>
      </w:pPr>
      <w:r>
        <w:rPr>
          <w:rFonts w:ascii="黑体" w:hAnsi="黑体" w:eastAsia="黑体"/>
          <w:b/>
          <w:color w:val="1F3A5F"/>
          <w:sz w:val="28"/>
        </w:rPr>
        <w:t>四、案例分析与合规启示</w:t>
      </w:r>
    </w:p>
    <w:p>
      <w:pPr>
        <w:spacing w:line="360" w:lineRule="auto" w:after="120"/>
        <w:ind w:firstLine="420"/>
      </w:pPr>
      <w:r>
        <w:rPr>
          <w:rFonts w:ascii="宋体" w:hAnsi="宋体" w:eastAsia="宋体"/>
          <w:b w:val="0"/>
          <w:sz w:val="24"/>
        </w:rPr>
        <w:t>集团内部共享不当然等于同一处理目的。跨产品、跨主体、跨场景使用数据，应明确接收方、目的、种类和处理方式，并区分委托处理、共同处理和第三方提供。</w:t>
      </w:r>
    </w:p>
    <w:p>
      <w:pPr>
        <w:spacing w:before="480"/>
        <w:jc w:val="center"/>
      </w:pPr>
      <w:r>
        <w:rPr>
          <w:rFonts w:ascii="宋体" w:hAnsi="宋体" w:eastAsia="宋体"/>
          <w:b w:val="0"/>
          <w:color w:val="999999"/>
          <w:sz w:val="20"/>
        </w:rPr>
        <w:t>场景6 · 案例2 · 个人信息数据特殊适用场景案例拆分</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